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EE6" w:rsidRDefault="0067538B" w:rsidP="00947EE6">
      <w:pPr>
        <w:pStyle w:val="Body"/>
        <w:spacing w:after="240"/>
      </w:pPr>
      <w:bookmarkStart w:id="0" w:name="_GoBack"/>
      <w:bookmarkEnd w:id="0"/>
      <w:r>
        <w:t>September 14</w:t>
      </w:r>
      <w:r w:rsidR="00947EE6" w:rsidRPr="007B6418">
        <w:t>, 2017</w:t>
      </w:r>
    </w:p>
    <w:p w:rsidR="007B6418" w:rsidRDefault="00E173D7" w:rsidP="00E173D7">
      <w:pPr>
        <w:pStyle w:val="Title"/>
        <w:rPr>
          <w:rStyle w:val="Strong"/>
          <w:b/>
          <w:bCs w:val="0"/>
          <w:sz w:val="36"/>
        </w:rPr>
      </w:pPr>
      <w:r w:rsidRPr="00E173D7">
        <w:rPr>
          <w:rStyle w:val="Strong"/>
          <w:b/>
          <w:bCs w:val="0"/>
          <w:sz w:val="36"/>
        </w:rPr>
        <w:t xml:space="preserve">2016 Census: </w:t>
      </w:r>
      <w:r w:rsidR="00902458">
        <w:rPr>
          <w:rStyle w:val="Strong"/>
          <w:b/>
          <w:bCs w:val="0"/>
          <w:sz w:val="36"/>
        </w:rPr>
        <w:t>Income</w:t>
      </w:r>
    </w:p>
    <w:p w:rsidR="00E173D7" w:rsidRDefault="00E173D7" w:rsidP="002473CF">
      <w:pPr>
        <w:tabs>
          <w:tab w:val="left" w:pos="1980"/>
          <w:tab w:val="left" w:pos="7797"/>
        </w:tabs>
        <w:rPr>
          <w:rFonts w:cs="Arial"/>
          <w:kern w:val="2"/>
        </w:rPr>
      </w:pPr>
      <w:r w:rsidRPr="00B906CB">
        <w:rPr>
          <w:rFonts w:cs="Arial"/>
          <w:kern w:val="2"/>
        </w:rPr>
        <w:t>The 201</w:t>
      </w:r>
      <w:r>
        <w:rPr>
          <w:rFonts w:cs="Arial"/>
          <w:kern w:val="2"/>
        </w:rPr>
        <w:t>6</w:t>
      </w:r>
      <w:r w:rsidRPr="00B906CB">
        <w:rPr>
          <w:rFonts w:cs="Arial"/>
          <w:kern w:val="2"/>
        </w:rPr>
        <w:t xml:space="preserve"> Census </w:t>
      </w:r>
      <w:r>
        <w:rPr>
          <w:rFonts w:cs="Arial"/>
          <w:kern w:val="2"/>
        </w:rPr>
        <w:t xml:space="preserve">Day was May </w:t>
      </w:r>
      <w:r w:rsidR="002F448F">
        <w:rPr>
          <w:rFonts w:cs="Arial"/>
          <w:kern w:val="2"/>
        </w:rPr>
        <w:t>10</w:t>
      </w:r>
      <w:r>
        <w:rPr>
          <w:rFonts w:cs="Arial"/>
          <w:kern w:val="2"/>
        </w:rPr>
        <w:t>, 201</w:t>
      </w:r>
      <w:r w:rsidR="002F448F">
        <w:rPr>
          <w:rFonts w:cs="Arial"/>
          <w:kern w:val="2"/>
        </w:rPr>
        <w:t>6</w:t>
      </w:r>
      <w:r>
        <w:rPr>
          <w:rFonts w:cs="Arial"/>
          <w:kern w:val="2"/>
        </w:rPr>
        <w:t xml:space="preserve">. </w:t>
      </w:r>
      <w:r w:rsidR="008F7D9E">
        <w:rPr>
          <w:rFonts w:cs="Arial"/>
          <w:kern w:val="2"/>
        </w:rPr>
        <w:t xml:space="preserve">On </w:t>
      </w:r>
      <w:r w:rsidR="00902458">
        <w:rPr>
          <w:rFonts w:cs="Arial"/>
          <w:kern w:val="2"/>
        </w:rPr>
        <w:t>September 13</w:t>
      </w:r>
      <w:r w:rsidR="008F7D9E">
        <w:rPr>
          <w:rFonts w:cs="Arial"/>
          <w:kern w:val="2"/>
        </w:rPr>
        <w:t>, 2017</w:t>
      </w:r>
      <w:r w:rsidRPr="00B906CB">
        <w:rPr>
          <w:rFonts w:cs="Arial"/>
          <w:kern w:val="2"/>
        </w:rPr>
        <w:t xml:space="preserve">, Statistics Canada released data </w:t>
      </w:r>
      <w:r w:rsidR="0064161D">
        <w:rPr>
          <w:rFonts w:cs="Arial"/>
          <w:kern w:val="2"/>
        </w:rPr>
        <w:t>on the topic of</w:t>
      </w:r>
      <w:r w:rsidRPr="00B906CB">
        <w:rPr>
          <w:rFonts w:cs="Arial"/>
          <w:kern w:val="2"/>
        </w:rPr>
        <w:t xml:space="preserve"> </w:t>
      </w:r>
      <w:r w:rsidR="0064161D">
        <w:rPr>
          <w:rFonts w:cs="Arial"/>
          <w:kern w:val="2"/>
        </w:rPr>
        <w:t>income</w:t>
      </w:r>
      <w:r w:rsidR="002473CF">
        <w:rPr>
          <w:rFonts w:cs="Arial"/>
          <w:kern w:val="2"/>
        </w:rPr>
        <w:t>.</w:t>
      </w:r>
      <w:r w:rsidR="00BF2B91">
        <w:rPr>
          <w:rFonts w:cs="Arial"/>
          <w:kern w:val="2"/>
        </w:rPr>
        <w:t xml:space="preserve"> For the first time, the Census of Population gathered income data solely from administrative sources</w:t>
      </w:r>
      <w:r w:rsidR="00120356">
        <w:rPr>
          <w:rFonts w:cs="Arial"/>
          <w:kern w:val="2"/>
        </w:rPr>
        <w:t xml:space="preserve">, rather than asking Census participants to </w:t>
      </w:r>
      <w:r w:rsidR="00995AF1">
        <w:rPr>
          <w:rFonts w:cs="Arial"/>
          <w:kern w:val="2"/>
        </w:rPr>
        <w:t xml:space="preserve">self-report </w:t>
      </w:r>
      <w:r w:rsidR="00120356">
        <w:rPr>
          <w:rFonts w:cs="Arial"/>
          <w:kern w:val="2"/>
        </w:rPr>
        <w:t>their income levels</w:t>
      </w:r>
      <w:r w:rsidR="00BF2B91">
        <w:rPr>
          <w:rFonts w:cs="Arial"/>
          <w:kern w:val="2"/>
        </w:rPr>
        <w:t xml:space="preserve">. The </w:t>
      </w:r>
      <w:r w:rsidR="005F548E">
        <w:rPr>
          <w:rFonts w:cs="Arial"/>
          <w:kern w:val="2"/>
        </w:rPr>
        <w:t>income data for the 2016 Census covers the full year prior to the Census, so the reference period for this data is the year 2015.</w:t>
      </w:r>
    </w:p>
    <w:p w:rsidR="002F448F" w:rsidRPr="000749C8" w:rsidRDefault="00E173D7" w:rsidP="000749C8">
      <w:pPr>
        <w:pStyle w:val="Section"/>
      </w:pPr>
      <w:r w:rsidRPr="000749C8">
        <w:t>Key Points</w:t>
      </w:r>
    </w:p>
    <w:p w:rsidR="002F448F" w:rsidRPr="007507A1" w:rsidRDefault="00F719DA" w:rsidP="000749C8">
      <w:pPr>
        <w:pStyle w:val="Heading10"/>
      </w:pPr>
      <w:r>
        <w:t>Median income levels</w:t>
      </w:r>
    </w:p>
    <w:p w:rsidR="000663CE" w:rsidRDefault="00A52BB7" w:rsidP="00995AF1">
      <w:pPr>
        <w:pStyle w:val="ListBullet"/>
      </w:pPr>
      <w:r>
        <w:t>In 2015,</w:t>
      </w:r>
      <w:r w:rsidR="00F719DA" w:rsidRPr="00F719DA">
        <w:t xml:space="preserve"> </w:t>
      </w:r>
      <w:r>
        <w:t xml:space="preserve">the </w:t>
      </w:r>
      <w:r w:rsidR="00F719DA" w:rsidRPr="00F719DA">
        <w:t>median</w:t>
      </w:r>
      <w:r w:rsidR="00B86E12">
        <w:t xml:space="preserve"> total</w:t>
      </w:r>
      <w:r w:rsidR="00F719DA" w:rsidRPr="00F719DA">
        <w:t xml:space="preserve"> household income in Toronto was $</w:t>
      </w:r>
      <w:r w:rsidR="001D3AF1">
        <w:t>65,829</w:t>
      </w:r>
      <w:r w:rsidR="00F719DA" w:rsidRPr="00F719DA">
        <w:t>.</w:t>
      </w:r>
      <w:r w:rsidR="005B5F01">
        <w:t xml:space="preserve"> This is the lowest of</w:t>
      </w:r>
      <w:r w:rsidR="001D3AF1">
        <w:t xml:space="preserve"> all regions in the </w:t>
      </w:r>
      <w:r w:rsidR="00120356">
        <w:t>Greater Toronto Hamilton Area (</w:t>
      </w:r>
      <w:r w:rsidR="001D3AF1">
        <w:t>GTHA</w:t>
      </w:r>
      <w:r w:rsidR="00120356">
        <w:t>)</w:t>
      </w:r>
      <w:r w:rsidR="001D3AF1">
        <w:t xml:space="preserve">. </w:t>
      </w:r>
      <w:r w:rsidR="002947F2">
        <w:t>The highest was in Halton at $103,009.</w:t>
      </w:r>
      <w:r w:rsidR="00F719DA" w:rsidRPr="00F719DA">
        <w:t xml:space="preserve"> </w:t>
      </w:r>
      <w:r w:rsidR="00782971">
        <w:t xml:space="preserve">The median household total income was </w:t>
      </w:r>
      <w:r w:rsidR="00910283">
        <w:t xml:space="preserve">$70,366 for Canada and $74,287 for </w:t>
      </w:r>
      <w:r w:rsidR="00201DCE">
        <w:t>Ontario (see Figure 1</w:t>
      </w:r>
      <w:r w:rsidR="00356B7A">
        <w:t xml:space="preserve"> and Map 1</w:t>
      </w:r>
      <w:r w:rsidR="00201DCE">
        <w:t>).</w:t>
      </w:r>
      <w:r w:rsidR="00995AF1">
        <w:t xml:space="preserve"> </w:t>
      </w:r>
      <w:r w:rsidR="00995AF1" w:rsidRPr="00995AF1">
        <w:t xml:space="preserve">This is explained, at least in part, </w:t>
      </w:r>
      <w:r w:rsidR="00D24DEA">
        <w:t>by the</w:t>
      </w:r>
      <w:r w:rsidR="00995AF1" w:rsidRPr="00995AF1">
        <w:t xml:space="preserve"> greater proportion of single person households in Toronto.</w:t>
      </w:r>
    </w:p>
    <w:p w:rsidR="00356B7A" w:rsidRPr="00894DA7" w:rsidRDefault="00356B7A" w:rsidP="00635945">
      <w:pPr>
        <w:pStyle w:val="ListBullet"/>
      </w:pPr>
      <w:r w:rsidRPr="00894DA7">
        <w:t xml:space="preserve">Within Toronto, </w:t>
      </w:r>
      <w:r w:rsidR="00A73C1F" w:rsidRPr="00894DA7">
        <w:t xml:space="preserve">the highest median incomes are found in the centre </w:t>
      </w:r>
      <w:r w:rsidR="000075DE" w:rsidRPr="00894DA7">
        <w:t>of the city, roughly bounded by Bloor Stree</w:t>
      </w:r>
      <w:r w:rsidR="008B57C3" w:rsidRPr="00894DA7">
        <w:t xml:space="preserve">t, Leslie Avenue, Wilson Avenue and Bathurst Street, as well as in the Royal York Road and Bloor Street West area. </w:t>
      </w:r>
      <w:r w:rsidR="00D16B81">
        <w:t xml:space="preserve">Although there are small pockets of lower median income within this area, </w:t>
      </w:r>
      <w:r w:rsidR="00801B97">
        <w:t xml:space="preserve">reflected by clusters of </w:t>
      </w:r>
      <w:r w:rsidR="00D16B81">
        <w:t>high density private market rental buildings</w:t>
      </w:r>
      <w:r w:rsidR="00801B97">
        <w:t xml:space="preserve"> and th</w:t>
      </w:r>
      <w:r w:rsidR="00D16B81">
        <w:t>e</w:t>
      </w:r>
      <w:r w:rsidR="00801B97">
        <w:t xml:space="preserve"> typically </w:t>
      </w:r>
      <w:r w:rsidR="00F42CBF">
        <w:t xml:space="preserve">smaller </w:t>
      </w:r>
      <w:r w:rsidR="008C74C6">
        <w:t>households.</w:t>
      </w:r>
      <w:r w:rsidR="008C74C6" w:rsidRPr="00894DA7">
        <w:t xml:space="preserve"> The</w:t>
      </w:r>
      <w:r w:rsidR="008B57C3" w:rsidRPr="00894DA7">
        <w:t xml:space="preserve"> pattern of lower median </w:t>
      </w:r>
      <w:r w:rsidR="004143EA" w:rsidRPr="00894DA7">
        <w:t xml:space="preserve">household incomes forms a U shape reaching from north west Etobicoke, through the downtown core, and up through East York and central Scarborough </w:t>
      </w:r>
      <w:r w:rsidR="000075DE" w:rsidRPr="00894DA7">
        <w:t>(</w:t>
      </w:r>
      <w:r w:rsidRPr="00894DA7">
        <w:t>see Map 2)</w:t>
      </w:r>
      <w:r w:rsidR="004143EA" w:rsidRPr="00894DA7">
        <w:t>.</w:t>
      </w:r>
      <w:r w:rsidR="00635945" w:rsidRPr="00894DA7">
        <w:t xml:space="preserve"> </w:t>
      </w:r>
    </w:p>
    <w:p w:rsidR="00B86E12" w:rsidRDefault="00B86E12" w:rsidP="00B86E12">
      <w:pPr>
        <w:pStyle w:val="ListBullet"/>
      </w:pPr>
      <w:r>
        <w:t>In 2015,</w:t>
      </w:r>
      <w:r w:rsidRPr="00F719DA">
        <w:t xml:space="preserve"> </w:t>
      </w:r>
      <w:r>
        <w:t xml:space="preserve">the </w:t>
      </w:r>
      <w:r w:rsidRPr="00F719DA">
        <w:t>median</w:t>
      </w:r>
      <w:r w:rsidR="00A65771">
        <w:t xml:space="preserve"> economic</w:t>
      </w:r>
      <w:r w:rsidRPr="00F719DA">
        <w:t xml:space="preserve"> </w:t>
      </w:r>
      <w:r w:rsidR="005B5F01">
        <w:t>family</w:t>
      </w:r>
      <w:r w:rsidRPr="00F719DA">
        <w:t xml:space="preserve"> income in Toronto was $</w:t>
      </w:r>
      <w:r w:rsidR="00A65771">
        <w:t>82,859</w:t>
      </w:r>
      <w:r w:rsidRPr="00F719DA">
        <w:t xml:space="preserve">. </w:t>
      </w:r>
      <w:r w:rsidR="005B5F01">
        <w:t xml:space="preserve">This is the lowest of all regions in the GTHA. The highest was in Halton at </w:t>
      </w:r>
      <w:r w:rsidR="00A65771">
        <w:t>$119,370.</w:t>
      </w:r>
      <w:r w:rsidR="00F019F7">
        <w:t xml:space="preserve"> The median household total income was $88,306 for Canada and $91,089 for Ontario.</w:t>
      </w:r>
      <w:r w:rsidR="00091029">
        <w:t xml:space="preserve"> Toronto families are also the smallest among GTHA regions, with 3.1 individuals being the average family size.</w:t>
      </w:r>
      <w:r w:rsidR="00CF4EFA">
        <w:t xml:space="preserve"> Peel and York regions have notably larger family sizes, at 3.6 and 3.4 people per family respectively.</w:t>
      </w:r>
    </w:p>
    <w:p w:rsidR="00B86E12" w:rsidRDefault="00B86E12" w:rsidP="00B86E12">
      <w:pPr>
        <w:pStyle w:val="ListBullet"/>
      </w:pPr>
      <w:r>
        <w:t>In 2015,</w:t>
      </w:r>
      <w:r w:rsidRPr="00F719DA">
        <w:t xml:space="preserve"> </w:t>
      </w:r>
      <w:r>
        <w:t xml:space="preserve">the </w:t>
      </w:r>
      <w:r w:rsidRPr="00F719DA">
        <w:t xml:space="preserve">median </w:t>
      </w:r>
      <w:r>
        <w:t>total</w:t>
      </w:r>
      <w:r w:rsidR="00A65771">
        <w:t xml:space="preserve"> income</w:t>
      </w:r>
      <w:r w:rsidR="005B5F01">
        <w:t xml:space="preserve"> of individuals</w:t>
      </w:r>
      <w:r w:rsidR="004E0DE3">
        <w:t xml:space="preserve"> age 15 and older</w:t>
      </w:r>
      <w:r w:rsidR="00A65771">
        <w:t xml:space="preserve"> in Toro</w:t>
      </w:r>
      <w:r w:rsidR="005B5F01">
        <w:t xml:space="preserve">nto was $30,089. This is the lowest of all regions in the GTHA. The highest was in Halton at </w:t>
      </w:r>
      <w:r w:rsidR="00A65771">
        <w:t>$42,577.</w:t>
      </w:r>
      <w:r w:rsidR="00F019F7">
        <w:t xml:space="preserve"> The median </w:t>
      </w:r>
      <w:r w:rsidR="00CF4EFA">
        <w:t>individual</w:t>
      </w:r>
      <w:r w:rsidR="00F019F7">
        <w:t xml:space="preserve"> income was $</w:t>
      </w:r>
      <w:r w:rsidR="00356B7A">
        <w:t>34,204</w:t>
      </w:r>
      <w:r w:rsidR="00F019F7">
        <w:t xml:space="preserve"> for Canada and $</w:t>
      </w:r>
      <w:r w:rsidR="00356B7A">
        <w:t>33,539</w:t>
      </w:r>
      <w:r w:rsidR="00F019F7">
        <w:t xml:space="preserve"> for Ontario.</w:t>
      </w:r>
    </w:p>
    <w:p w:rsidR="002A1486" w:rsidRDefault="002A1486" w:rsidP="002A1486">
      <w:pPr>
        <w:pStyle w:val="ListBullet"/>
      </w:pPr>
      <w:r>
        <w:t xml:space="preserve">In Toronto, males had a </w:t>
      </w:r>
      <w:r w:rsidRPr="00F719DA">
        <w:t xml:space="preserve">median </w:t>
      </w:r>
      <w:r>
        <w:t xml:space="preserve">total individual income of $33,456 and females had a </w:t>
      </w:r>
      <w:r w:rsidRPr="00F719DA">
        <w:t xml:space="preserve">median </w:t>
      </w:r>
      <w:r>
        <w:t>total individual income of $27,576. The gap between these figures is $5,880. This gap is much smaller than the median gap in Ontario, where males had median income of $39,889 and females had a median individual income of $28,676, for a difference of $11,213.</w:t>
      </w:r>
    </w:p>
    <w:p w:rsidR="005109C1" w:rsidRPr="005109C1" w:rsidRDefault="005109C1" w:rsidP="00B52FA3">
      <w:pPr>
        <w:pStyle w:val="ListBullet"/>
      </w:pPr>
      <w:r>
        <w:t xml:space="preserve">Lone parent families in Toronto had </w:t>
      </w:r>
      <w:r w:rsidR="00347AE3">
        <w:t xml:space="preserve">a median </w:t>
      </w:r>
      <w:r>
        <w:t>income</w:t>
      </w:r>
      <w:r w:rsidR="00F87741">
        <w:t xml:space="preserve"> of</w:t>
      </w:r>
      <w:r>
        <w:t xml:space="preserve"> </w:t>
      </w:r>
      <w:r w:rsidR="00B52FA3">
        <w:t>$51</w:t>
      </w:r>
      <w:r w:rsidR="00347AE3">
        <w:t>,</w:t>
      </w:r>
      <w:r w:rsidR="00B52FA3">
        <w:t xml:space="preserve">040. That amount is more than </w:t>
      </w:r>
      <w:r w:rsidR="00347AE3">
        <w:t>$</w:t>
      </w:r>
      <w:r w:rsidR="00B52FA3">
        <w:t>10,000 lower than any other GTHA region except Hamilton, which ha</w:t>
      </w:r>
      <w:r w:rsidR="00262550">
        <w:t>d comparable figures to Toronto. It is also about half of the median family income for couple families with children</w:t>
      </w:r>
      <w:r w:rsidR="00F87741">
        <w:t xml:space="preserve"> in Toronto</w:t>
      </w:r>
      <w:r w:rsidR="00E55B33">
        <w:t>, at $102,273.</w:t>
      </w:r>
    </w:p>
    <w:p w:rsidR="002473CF" w:rsidRPr="007507A1" w:rsidRDefault="00F719DA" w:rsidP="000663CE">
      <w:pPr>
        <w:pStyle w:val="Heading10"/>
      </w:pPr>
      <w:r>
        <w:lastRenderedPageBreak/>
        <w:t>Income sources</w:t>
      </w:r>
    </w:p>
    <w:p w:rsidR="007F704B" w:rsidRPr="007F704B" w:rsidRDefault="007F704B" w:rsidP="0077781B">
      <w:pPr>
        <w:pStyle w:val="ListBullet"/>
      </w:pPr>
      <w:r w:rsidRPr="007F704B">
        <w:t>Toronto</w:t>
      </w:r>
      <w:r w:rsidR="00DD0D24">
        <w:t xml:space="preserve"> residents earn a greater share of their income from market sources other than employment income (e.g. investment income, private retirement income) compared to other Canadians.</w:t>
      </w:r>
      <w:r w:rsidRPr="007F704B">
        <w:t xml:space="preserve"> 74.4% of</w:t>
      </w:r>
      <w:r w:rsidR="00DD0D24">
        <w:t xml:space="preserve"> Toronto residents'</w:t>
      </w:r>
      <w:r w:rsidRPr="007F704B">
        <w:t xml:space="preserve"> total income </w:t>
      </w:r>
      <w:r w:rsidR="006E27AE">
        <w:t xml:space="preserve">came from </w:t>
      </w:r>
      <w:r w:rsidRPr="007F704B">
        <w:t>employment income.</w:t>
      </w:r>
      <w:r>
        <w:t xml:space="preserve"> </w:t>
      </w:r>
      <w:r w:rsidR="00A129AC">
        <w:t>For Canada 72.0% of income came from employment income, and for Ontario the percentage was 72.9%.</w:t>
      </w:r>
    </w:p>
    <w:p w:rsidR="007F704B" w:rsidRPr="00FE0065" w:rsidRDefault="00FE0065" w:rsidP="00FE0065">
      <w:pPr>
        <w:pStyle w:val="ListBullet"/>
        <w:rPr>
          <w:b/>
        </w:rPr>
      </w:pPr>
      <w:r>
        <w:t>Torontonians' income relied significantly less on government transfers</w:t>
      </w:r>
      <w:r w:rsidR="00966409">
        <w:t xml:space="preserve"> than across the province and nation</w:t>
      </w:r>
      <w:r>
        <w:t>.</w:t>
      </w:r>
      <w:r>
        <w:rPr>
          <w:b/>
        </w:rPr>
        <w:t xml:space="preserve"> </w:t>
      </w:r>
      <w:r w:rsidR="007F704B" w:rsidRPr="007F704B">
        <w:t>In Toronto, 9.4% of total income came from government transfers. Toronto was in the middle of the pack</w:t>
      </w:r>
      <w:r w:rsidR="00B86E12">
        <w:t xml:space="preserve"> in the GTHA</w:t>
      </w:r>
      <w:r w:rsidR="007F704B" w:rsidRPr="007F704B">
        <w:t xml:space="preserve"> (i.e. third </w:t>
      </w:r>
      <w:r w:rsidR="007F704B">
        <w:t>of six regions</w:t>
      </w:r>
      <w:r w:rsidR="007F704B" w:rsidRPr="007F704B">
        <w:t>)</w:t>
      </w:r>
      <w:r w:rsidR="00B86E12">
        <w:t xml:space="preserve">. </w:t>
      </w:r>
      <w:r w:rsidR="00A129AC">
        <w:t xml:space="preserve">For </w:t>
      </w:r>
      <w:r w:rsidR="006E27AE">
        <w:t xml:space="preserve">all </w:t>
      </w:r>
      <w:r w:rsidR="00A129AC">
        <w:t>Canada</w:t>
      </w:r>
      <w:r w:rsidR="006E27AE">
        <w:t>,</w:t>
      </w:r>
      <w:r w:rsidR="00A129AC">
        <w:t xml:space="preserve"> 11.7% of </w:t>
      </w:r>
      <w:r w:rsidR="006E27AE">
        <w:t xml:space="preserve">total </w:t>
      </w:r>
      <w:r w:rsidR="00A129AC">
        <w:t xml:space="preserve">income came from government transfers, and for Ontario the percentage was </w:t>
      </w:r>
      <w:r w:rsidR="00775BDE">
        <w:t>11.1</w:t>
      </w:r>
      <w:r w:rsidR="00A129AC">
        <w:t>%</w:t>
      </w:r>
      <w:r w:rsidR="00D24DEA">
        <w:t xml:space="preserve"> (see Figure 2)</w:t>
      </w:r>
      <w:r w:rsidR="00A129AC">
        <w:t>.</w:t>
      </w:r>
    </w:p>
    <w:p w:rsidR="00E36830" w:rsidRDefault="00E36830" w:rsidP="007F704B">
      <w:pPr>
        <w:pStyle w:val="Heading10"/>
      </w:pPr>
      <w:r>
        <w:t>Prevalence of low income</w:t>
      </w:r>
    </w:p>
    <w:p w:rsidR="002A1486" w:rsidRPr="00311BF9" w:rsidRDefault="002A1486" w:rsidP="004D09D4">
      <w:pPr>
        <w:pStyle w:val="ListBullet"/>
      </w:pPr>
      <w:r w:rsidRPr="00311BF9">
        <w:t xml:space="preserve">In 2015, there were 543,390 persons or 20.2% of the population in Toronto with </w:t>
      </w:r>
      <w:r w:rsidR="004D09D4" w:rsidRPr="00311BF9">
        <w:t>an income</w:t>
      </w:r>
      <w:r w:rsidRPr="00311BF9">
        <w:t xml:space="preserve"> below Statistics Canada's Low Income Measure</w:t>
      </w:r>
      <w:r>
        <w:t xml:space="preserve"> After Tax</w:t>
      </w:r>
      <w:r w:rsidRPr="00311BF9">
        <w:t xml:space="preserve"> (LIM-AT).</w:t>
      </w:r>
      <w:r>
        <w:t xml:space="preserve"> LIM-AT is a relative measure of low income, meaning that it does not reflect dif</w:t>
      </w:r>
      <w:r w:rsidR="00720908">
        <w:t>ferences in the cost of living.</w:t>
      </w:r>
    </w:p>
    <w:p w:rsidR="002A1486" w:rsidRPr="00E87249" w:rsidRDefault="002A1486" w:rsidP="004D09D4">
      <w:pPr>
        <w:pStyle w:val="ListBullet"/>
      </w:pPr>
      <w:r w:rsidRPr="00E87249">
        <w:t>Toronto continues to have a higher rate of low income than the rest of Canada (14.2%), Ontario (14.4%) and the rest of the regions in the GTHA (11.9%)</w:t>
      </w:r>
      <w:r w:rsidR="00E47181" w:rsidRPr="00E87249">
        <w:t xml:space="preserve"> (see Figure </w:t>
      </w:r>
      <w:r w:rsidR="004A34E0" w:rsidRPr="00E87249">
        <w:t>4</w:t>
      </w:r>
      <w:r w:rsidR="00E47181" w:rsidRPr="00E87249">
        <w:t xml:space="preserve"> and Map 3)</w:t>
      </w:r>
      <w:r w:rsidRPr="00E87249">
        <w:t>.</w:t>
      </w:r>
    </w:p>
    <w:p w:rsidR="00E47181" w:rsidRPr="00E87249" w:rsidRDefault="00E47181" w:rsidP="004D09D4">
      <w:pPr>
        <w:pStyle w:val="ListBullet"/>
      </w:pPr>
      <w:r w:rsidRPr="00E87249">
        <w:t>Within Toronto,</w:t>
      </w:r>
      <w:r w:rsidR="00894DA7" w:rsidRPr="00E87249">
        <w:t xml:space="preserve"> areas with the highest prevalence of low income can be found in </w:t>
      </w:r>
      <w:r w:rsidR="00E87249" w:rsidRPr="00E87249">
        <w:t>numerous locations</w:t>
      </w:r>
      <w:r w:rsidR="00894DA7" w:rsidRPr="00E87249">
        <w:t xml:space="preserve"> across the city</w:t>
      </w:r>
      <w:r w:rsidR="00E87249">
        <w:t>. Areas with the lowest rates of low income can be found in south</w:t>
      </w:r>
      <w:r w:rsidR="008B456F">
        <w:t xml:space="preserve"> </w:t>
      </w:r>
      <w:r w:rsidR="00E87249">
        <w:t>west Etobicoke, central Toronto, and</w:t>
      </w:r>
      <w:r w:rsidR="008B456F">
        <w:t xml:space="preserve"> north</w:t>
      </w:r>
      <w:r w:rsidR="00E87249">
        <w:t xml:space="preserve"> </w:t>
      </w:r>
      <w:r w:rsidR="008B456F">
        <w:t>east Scarborough</w:t>
      </w:r>
      <w:r w:rsidRPr="00E87249">
        <w:t xml:space="preserve"> (see Map 4)</w:t>
      </w:r>
      <w:r w:rsidR="00E87249" w:rsidRPr="00E87249">
        <w:t>.</w:t>
      </w:r>
    </w:p>
    <w:p w:rsidR="002A1486" w:rsidRPr="00E87249" w:rsidRDefault="002A1486" w:rsidP="004D09D4">
      <w:pPr>
        <w:pStyle w:val="ListBullet"/>
        <w:rPr>
          <w:rStyle w:val="ListBulletChar"/>
        </w:rPr>
      </w:pPr>
      <w:r w:rsidRPr="00E87249">
        <w:rPr>
          <w:rStyle w:val="ListBulletChar"/>
        </w:rPr>
        <w:t>In Toronto, the prevalence of low-income for young adults</w:t>
      </w:r>
      <w:r w:rsidR="004A34E0" w:rsidRPr="00E87249">
        <w:rPr>
          <w:rStyle w:val="ListBulletChar"/>
        </w:rPr>
        <w:t xml:space="preserve"> (18 to 24 years)</w:t>
      </w:r>
      <w:r w:rsidRPr="00E87249">
        <w:rPr>
          <w:rStyle w:val="ListBulletChar"/>
        </w:rPr>
        <w:t xml:space="preserve"> (27.0%) and children (under 18 years) (26.3%) is significantly higher than for older age groups</w:t>
      </w:r>
      <w:r w:rsidR="004A34E0" w:rsidRPr="00E87249">
        <w:rPr>
          <w:rStyle w:val="ListBulletChar"/>
        </w:rPr>
        <w:t xml:space="preserve"> (see Figures 4 &amp; 5)</w:t>
      </w:r>
      <w:r w:rsidRPr="00E87249">
        <w:rPr>
          <w:rStyle w:val="ListBulletChar"/>
        </w:rPr>
        <w:t>.</w:t>
      </w:r>
    </w:p>
    <w:p w:rsidR="002A1486" w:rsidRPr="00083D9E" w:rsidRDefault="002A1486" w:rsidP="004D09D4">
      <w:pPr>
        <w:pStyle w:val="ListBullet"/>
      </w:pPr>
      <w:r>
        <w:t xml:space="preserve">The threshold for LIM-AT in 2015 </w:t>
      </w:r>
      <w:r>
        <w:rPr>
          <w:rStyle w:val="BodyChar"/>
        </w:rPr>
        <w:t>is $22,133 for a one person household, $31,301 for a two person household, and $44,266 for a four person household. (See glossary for more information about low income measures).</w:t>
      </w:r>
    </w:p>
    <w:p w:rsidR="00E36830" w:rsidRDefault="00E36830" w:rsidP="00311BF9">
      <w:pPr>
        <w:pStyle w:val="Heading10"/>
      </w:pPr>
      <w:r>
        <w:t>Income distribution</w:t>
      </w:r>
    </w:p>
    <w:p w:rsidR="00AB3879" w:rsidRPr="00AB3879" w:rsidRDefault="002A1486" w:rsidP="00AB3879">
      <w:pPr>
        <w:pStyle w:val="ListBullet"/>
      </w:pPr>
      <w:r>
        <w:t>O</w:t>
      </w:r>
      <w:r w:rsidR="00AB3879" w:rsidRPr="00AB3879">
        <w:t>f Toronto residents who were employed in 2015</w:t>
      </w:r>
      <w:r>
        <w:t xml:space="preserve">, </w:t>
      </w:r>
      <w:r w:rsidRPr="00AB3879">
        <w:t>35.1</w:t>
      </w:r>
      <w:r w:rsidR="002F723D" w:rsidRPr="00AB3879">
        <w:t>% had</w:t>
      </w:r>
      <w:r w:rsidR="00AB3879" w:rsidRPr="00AB3879">
        <w:t xml:space="preserve"> annual employ</w:t>
      </w:r>
      <w:r w:rsidR="005E70DD">
        <w:t>ment income under $20,000</w:t>
      </w:r>
      <w:r w:rsidR="00AB3879" w:rsidRPr="00AB3879">
        <w:t xml:space="preserve">. </w:t>
      </w:r>
      <w:r w:rsidR="006165DF">
        <w:t>This includes persons working part-time and/or for only part of the year</w:t>
      </w:r>
      <w:r w:rsidR="005E70DD">
        <w:t>.</w:t>
      </w:r>
    </w:p>
    <w:p w:rsidR="00AB3879" w:rsidRPr="00AB3879" w:rsidRDefault="00AB3879" w:rsidP="00AB3879">
      <w:pPr>
        <w:pStyle w:val="ListBullet"/>
      </w:pPr>
      <w:r w:rsidRPr="00AB3879">
        <w:t>Toronto had a greater proportion of reside</w:t>
      </w:r>
      <w:r w:rsidR="002F723D">
        <w:t>nts that earned over $100,000 (</w:t>
      </w:r>
      <w:r w:rsidRPr="00AB3879">
        <w:t>10.5</w:t>
      </w:r>
      <w:r w:rsidR="002F723D">
        <w:t>%</w:t>
      </w:r>
      <w:r w:rsidRPr="00AB3879">
        <w:t>) a year in 2015 compar</w:t>
      </w:r>
      <w:r w:rsidR="002F723D">
        <w:t>ed to the rest of the country (</w:t>
      </w:r>
      <w:r w:rsidRPr="00AB3879">
        <w:t>8.7</w:t>
      </w:r>
      <w:r w:rsidR="002F723D">
        <w:t>%</w:t>
      </w:r>
      <w:r w:rsidRPr="00AB3879">
        <w:t>).</w:t>
      </w:r>
      <w:r w:rsidR="002F723D">
        <w:t xml:space="preserve"> Toronto also saw a higher proportion of residents who earned less than $40,000</w:t>
      </w:r>
      <w:r w:rsidR="00F02093">
        <w:t xml:space="preserve"> and less than $20,000 (31.5%) in 2015</w:t>
      </w:r>
      <w:r w:rsidR="00156072">
        <w:t xml:space="preserve"> (see Figure 6)</w:t>
      </w:r>
      <w:r w:rsidR="00F02093">
        <w:t>.</w:t>
      </w:r>
    </w:p>
    <w:p w:rsidR="008B456F" w:rsidRDefault="008B456F">
      <w:pPr>
        <w:spacing w:after="160" w:line="259" w:lineRule="auto"/>
        <w:rPr>
          <w:b/>
          <w:caps/>
          <w:sz w:val="26"/>
        </w:rPr>
      </w:pPr>
      <w:r>
        <w:br w:type="page"/>
      </w:r>
    </w:p>
    <w:p w:rsidR="00223162" w:rsidRPr="000749C8" w:rsidRDefault="00223162" w:rsidP="00AB3879">
      <w:pPr>
        <w:pStyle w:val="Section"/>
      </w:pPr>
      <w:r>
        <w:lastRenderedPageBreak/>
        <w:t>GLOSSARY</w:t>
      </w:r>
    </w:p>
    <w:p w:rsidR="00250271" w:rsidRDefault="00250271" w:rsidP="00A52BB7">
      <w:pPr>
        <w:pStyle w:val="Body"/>
        <w:rPr>
          <w:rFonts w:cs="Arial"/>
          <w:lang w:val="en-GB"/>
        </w:rPr>
      </w:pPr>
      <w:r>
        <w:rPr>
          <w:rFonts w:cs="Arial"/>
          <w:lang w:val="en-GB"/>
        </w:rPr>
        <w:t xml:space="preserve">Statistics Canada maintains a </w:t>
      </w:r>
      <w:hyperlink r:id="rId8" w:history="1">
        <w:r>
          <w:rPr>
            <w:rStyle w:val="Hyperlink"/>
            <w:rFonts w:cs="Arial"/>
            <w:lang w:val="en-GB"/>
          </w:rPr>
          <w:t>C</w:t>
        </w:r>
        <w:r w:rsidRPr="0096213E">
          <w:rPr>
            <w:rStyle w:val="Hyperlink"/>
            <w:rFonts w:cs="Arial"/>
            <w:lang w:val="en-GB"/>
          </w:rPr>
          <w:t xml:space="preserve">ensus </w:t>
        </w:r>
        <w:r>
          <w:rPr>
            <w:rStyle w:val="Hyperlink"/>
            <w:rFonts w:cs="Arial"/>
            <w:lang w:val="en-GB"/>
          </w:rPr>
          <w:t>D</w:t>
        </w:r>
        <w:r w:rsidRPr="0096213E">
          <w:rPr>
            <w:rStyle w:val="Hyperlink"/>
            <w:rFonts w:cs="Arial"/>
            <w:lang w:val="en-GB"/>
          </w:rPr>
          <w:t>ictionary</w:t>
        </w:r>
      </w:hyperlink>
      <w:r>
        <w:rPr>
          <w:rFonts w:cs="Arial"/>
          <w:lang w:val="en-GB"/>
        </w:rPr>
        <w:t xml:space="preserve"> for the Census of Population, 2016</w:t>
      </w:r>
      <w:r w:rsidR="007F4E44">
        <w:rPr>
          <w:rFonts w:cs="Arial"/>
          <w:lang w:val="en-GB"/>
        </w:rPr>
        <w:t xml:space="preserve">, available online at:  </w:t>
      </w:r>
      <w:hyperlink r:id="rId9" w:history="1">
        <w:r w:rsidR="007F4E44" w:rsidRPr="00BB6DAB">
          <w:rPr>
            <w:rStyle w:val="Hyperlink"/>
            <w:rFonts w:cs="Arial"/>
            <w:lang w:val="en-GB"/>
          </w:rPr>
          <w:t>http://www12.statcan.gc.ca/census-recensement/2016/ref/dict/</w:t>
        </w:r>
        <w:r w:rsidR="007F4E44" w:rsidRPr="00BB6DAB">
          <w:rPr>
            <w:rStyle w:val="Hyperlink"/>
            <w:rFonts w:cs="Arial"/>
            <w:lang w:val="en-GB"/>
          </w:rPr>
          <w:br/>
          <w:t>index-eng.cfm</w:t>
        </w:r>
      </w:hyperlink>
      <w:r>
        <w:rPr>
          <w:rFonts w:cs="Arial"/>
          <w:lang w:val="en-GB"/>
        </w:rPr>
        <w:t xml:space="preserve">. Many more terms associated with </w:t>
      </w:r>
      <w:r w:rsidR="00C2248A">
        <w:rPr>
          <w:rFonts w:cs="Arial"/>
          <w:lang w:val="en-GB"/>
        </w:rPr>
        <w:t>the Census can be found there.</w:t>
      </w:r>
    </w:p>
    <w:p w:rsidR="00C2248A" w:rsidRDefault="00C2248A" w:rsidP="00A52BB7">
      <w:pPr>
        <w:pStyle w:val="Body"/>
        <w:rPr>
          <w:rFonts w:cs="Arial"/>
          <w:lang w:val="en-GB"/>
        </w:rPr>
      </w:pPr>
    </w:p>
    <w:p w:rsidR="00250271" w:rsidRPr="003B3D6F" w:rsidRDefault="00250271" w:rsidP="003B3D6F">
      <w:pPr>
        <w:pStyle w:val="ListBullet"/>
        <w:rPr>
          <w:rStyle w:val="Strong"/>
          <w:b w:val="0"/>
        </w:rPr>
      </w:pPr>
      <w:r w:rsidRPr="003B3D6F">
        <w:rPr>
          <w:rStyle w:val="Strong"/>
        </w:rPr>
        <w:t>Census Metropolitan Area</w:t>
      </w:r>
      <w:r w:rsidRPr="003B3D6F">
        <w:rPr>
          <w:rStyle w:val="Strong"/>
          <w:b w:val="0"/>
        </w:rPr>
        <w:t xml:space="preserve"> (CMA): </w:t>
      </w:r>
      <w:r w:rsidRPr="003B3D6F">
        <w:rPr>
          <w:rStyle w:val="BodyChar"/>
        </w:rPr>
        <w:t>one or more adjacent municipalities centred on a core population centre. To be included in a CMA, the adjacent municipalities must have a high degree of integration with the core. Integration is measured by commuting flows.</w:t>
      </w:r>
    </w:p>
    <w:p w:rsidR="00250271" w:rsidRPr="003B3D6F" w:rsidRDefault="00250271" w:rsidP="003B3D6F">
      <w:pPr>
        <w:pStyle w:val="ListBullet"/>
        <w:rPr>
          <w:rFonts w:cs="Arial"/>
          <w:lang w:val="en-GB"/>
        </w:rPr>
      </w:pPr>
      <w:r w:rsidRPr="003B3D6F">
        <w:rPr>
          <w:rStyle w:val="Strong"/>
        </w:rPr>
        <w:t>Census Tract</w:t>
      </w:r>
      <w:r w:rsidRPr="003B3D6F">
        <w:rPr>
          <w:rStyle w:val="Strong"/>
          <w:b w:val="0"/>
        </w:rPr>
        <w:t xml:space="preserve"> (CT):</w:t>
      </w:r>
      <w:r w:rsidRPr="003B3D6F">
        <w:rPr>
          <w:rFonts w:cs="Arial"/>
          <w:lang w:val="en-GB"/>
        </w:rPr>
        <w:t xml:space="preserve"> a small, geographic area, typically with a population smaller than 10,000 persons.</w:t>
      </w:r>
      <w:r w:rsidR="001C6E9D" w:rsidRPr="003B3D6F">
        <w:rPr>
          <w:rFonts w:cs="Arial"/>
          <w:lang w:val="en-GB"/>
        </w:rPr>
        <w:t xml:space="preserve"> </w:t>
      </w:r>
      <w:r w:rsidRPr="003B3D6F">
        <w:rPr>
          <w:rFonts w:cs="Arial"/>
          <w:lang w:val="en-GB"/>
        </w:rPr>
        <w:t>Their geography is relatively stable over time to allow for comparison of changes from Census to Census.</w:t>
      </w:r>
    </w:p>
    <w:p w:rsidR="00250271" w:rsidRPr="003B3D6F" w:rsidRDefault="00250271" w:rsidP="003B3D6F">
      <w:pPr>
        <w:pStyle w:val="ListBullet"/>
        <w:rPr>
          <w:rFonts w:cs="Arial"/>
          <w:lang w:val="en-GB"/>
        </w:rPr>
      </w:pPr>
      <w:r w:rsidRPr="003B3D6F">
        <w:rPr>
          <w:rStyle w:val="Strong"/>
        </w:rPr>
        <w:t>Centre</w:t>
      </w:r>
      <w:r w:rsidRPr="003B3D6F">
        <w:rPr>
          <w:rStyle w:val="Strong"/>
          <w:b w:val="0"/>
        </w:rPr>
        <w:t>:</w:t>
      </w:r>
      <w:r w:rsidRPr="003B3D6F">
        <w:rPr>
          <w:rFonts w:cs="Arial"/>
          <w:lang w:val="en-GB"/>
        </w:rPr>
        <w:t xml:space="preserve"> </w:t>
      </w:r>
      <w:r w:rsidR="00EB5461" w:rsidRPr="003B3D6F">
        <w:rPr>
          <w:rFonts w:cs="Arial"/>
          <w:lang w:val="en-GB"/>
        </w:rPr>
        <w:t>is</w:t>
      </w:r>
      <w:r w:rsidRPr="003B3D6F">
        <w:rPr>
          <w:rFonts w:cs="Arial"/>
          <w:lang w:val="en-GB"/>
        </w:rPr>
        <w:t xml:space="preserve"> </w:t>
      </w:r>
      <w:r w:rsidR="00EB5461" w:rsidRPr="003B3D6F">
        <w:rPr>
          <w:rFonts w:cs="Arial"/>
          <w:lang w:val="en-GB"/>
        </w:rPr>
        <w:t xml:space="preserve">as </w:t>
      </w:r>
      <w:r w:rsidRPr="003B3D6F">
        <w:rPr>
          <w:rFonts w:cs="Arial"/>
          <w:lang w:val="en-GB"/>
        </w:rPr>
        <w:t xml:space="preserve">defined in the City of Toronto Official Plan. </w:t>
      </w:r>
      <w:r w:rsidR="00EB5461" w:rsidRPr="003B3D6F">
        <w:rPr>
          <w:rFonts w:cs="Arial"/>
          <w:lang w:val="en-GB"/>
        </w:rPr>
        <w:t>Centres</w:t>
      </w:r>
      <w:r w:rsidRPr="003B3D6F">
        <w:rPr>
          <w:rFonts w:cs="Arial"/>
          <w:lang w:val="en-GB"/>
        </w:rPr>
        <w:t xml:space="preserve"> play an important role in how the City manages growth.</w:t>
      </w:r>
      <w:r w:rsidR="001C6E9D" w:rsidRPr="003B3D6F">
        <w:rPr>
          <w:rFonts w:cs="Arial"/>
          <w:lang w:val="en-GB"/>
        </w:rPr>
        <w:t xml:space="preserve"> </w:t>
      </w:r>
      <w:r w:rsidRPr="003B3D6F">
        <w:rPr>
          <w:rFonts w:cs="Arial"/>
          <w:lang w:val="en-GB"/>
        </w:rPr>
        <w:t xml:space="preserve">The Scarborough, North York, Etobicoke and Yonge-Eglinton Centres are places with excellent transit accessibility where jobs, housing and services will be concentrated in dynamic mixed use settings with different levels of activity and intensity. More information can be found in the </w:t>
      </w:r>
      <w:hyperlink r:id="rId10" w:history="1">
        <w:r w:rsidRPr="003B3D6F">
          <w:rPr>
            <w:rStyle w:val="Hyperlink"/>
            <w:rFonts w:cs="Arial"/>
            <w:lang w:val="en-GB"/>
          </w:rPr>
          <w:t>Toronto Official Plan</w:t>
        </w:r>
      </w:hyperlink>
      <w:r w:rsidRPr="003B3D6F">
        <w:rPr>
          <w:rFonts w:cs="Arial"/>
          <w:lang w:val="en-GB"/>
        </w:rPr>
        <w:t>.</w:t>
      </w:r>
    </w:p>
    <w:p w:rsidR="006D4393" w:rsidRPr="00790E8E" w:rsidRDefault="006D4393" w:rsidP="006D4393">
      <w:pPr>
        <w:pStyle w:val="ListBullet"/>
        <w:rPr>
          <w:rStyle w:val="Strong"/>
          <w:b w:val="0"/>
          <w:bCs w:val="0"/>
        </w:rPr>
      </w:pPr>
      <w:r w:rsidRPr="00790E8E">
        <w:rPr>
          <w:rStyle w:val="Strong"/>
        </w:rPr>
        <w:t>Economic family</w:t>
      </w:r>
      <w:r>
        <w:rPr>
          <w:rStyle w:val="Strong"/>
        </w:rPr>
        <w:t>:</w:t>
      </w:r>
      <w:r w:rsidRPr="00790E8E">
        <w:rPr>
          <w:rStyle w:val="Strong"/>
          <w:b w:val="0"/>
          <w:bCs w:val="0"/>
        </w:rPr>
        <w:t xml:space="preserve"> </w:t>
      </w:r>
      <w:r>
        <w:rPr>
          <w:rStyle w:val="Strong"/>
          <w:b w:val="0"/>
          <w:bCs w:val="0"/>
        </w:rPr>
        <w:t>a broader definition of family than the census family concept, meaning</w:t>
      </w:r>
      <w:r w:rsidRPr="00790E8E">
        <w:rPr>
          <w:rStyle w:val="Strong"/>
          <w:b w:val="0"/>
          <w:bCs w:val="0"/>
        </w:rPr>
        <w:t xml:space="preserve"> a group of two or more persons who live in the same dwelling and are related to each other by blood, marriage, common-law union, adoption or a foster relationship. A couple may be of opposite or same sex. </w:t>
      </w:r>
      <w:r w:rsidR="00F02093">
        <w:rPr>
          <w:rStyle w:val="Strong"/>
          <w:b w:val="0"/>
          <w:bCs w:val="0"/>
        </w:rPr>
        <w:t>This measure of family is used in Census reporting about family income</w:t>
      </w:r>
      <w:r w:rsidRPr="00790E8E">
        <w:rPr>
          <w:rStyle w:val="Strong"/>
          <w:b w:val="0"/>
          <w:bCs w:val="0"/>
        </w:rPr>
        <w:t>.</w:t>
      </w:r>
    </w:p>
    <w:p w:rsidR="002473CF" w:rsidRPr="003B3D6F" w:rsidRDefault="00250271" w:rsidP="003B3D6F">
      <w:pPr>
        <w:pStyle w:val="ListBullet"/>
        <w:rPr>
          <w:rFonts w:cs="Arial"/>
        </w:rPr>
      </w:pPr>
      <w:r w:rsidRPr="003B3D6F">
        <w:rPr>
          <w:rStyle w:val="Strong"/>
        </w:rPr>
        <w:t>GTHA</w:t>
      </w:r>
      <w:r w:rsidRPr="003B3D6F">
        <w:rPr>
          <w:rStyle w:val="Strong"/>
          <w:b w:val="0"/>
        </w:rPr>
        <w:t xml:space="preserve"> refers to </w:t>
      </w:r>
      <w:r w:rsidRPr="003B3D6F">
        <w:rPr>
          <w:rStyle w:val="Strong"/>
        </w:rPr>
        <w:t>the Greater Toronto and Hamilton Area</w:t>
      </w:r>
      <w:r w:rsidRPr="003B3D6F">
        <w:rPr>
          <w:rFonts w:cs="Arial"/>
        </w:rPr>
        <w:t>. This area is comprised of the single-tier municipalities of Toronto and Hamilton, the regional municipalities of York, Durham, Peel, and Halton, and the cities and towns within the GTHA regional municipalities.</w:t>
      </w:r>
      <w:r w:rsidR="001C6E9D" w:rsidRPr="003B3D6F">
        <w:rPr>
          <w:rFonts w:cs="Arial"/>
        </w:rPr>
        <w:t xml:space="preserve"> </w:t>
      </w:r>
      <w:r w:rsidR="00091029">
        <w:rPr>
          <w:rFonts w:cs="Arial"/>
        </w:rPr>
        <w:t xml:space="preserve">This report refers to these single and upper tier municipalities as "regions". </w:t>
      </w:r>
      <w:r w:rsidRPr="003B3D6F">
        <w:rPr>
          <w:rFonts w:cs="Arial"/>
        </w:rPr>
        <w:t>This is not the same geography as the Toronto Census Metropolitan Area as defined by Statistics Canada.</w:t>
      </w:r>
    </w:p>
    <w:p w:rsidR="006D4393" w:rsidRPr="006D4393" w:rsidRDefault="006D4393" w:rsidP="006D4393">
      <w:pPr>
        <w:pStyle w:val="ListBullet"/>
        <w:rPr>
          <w:rStyle w:val="Strong"/>
          <w:b w:val="0"/>
          <w:bCs w:val="0"/>
        </w:rPr>
      </w:pPr>
      <w:r w:rsidRPr="006D4393">
        <w:rPr>
          <w:rStyle w:val="Strong"/>
        </w:rPr>
        <w:t>Household</w:t>
      </w:r>
      <w:r w:rsidRPr="006D4393">
        <w:rPr>
          <w:rStyle w:val="Strong"/>
          <w:b w:val="0"/>
        </w:rPr>
        <w:t xml:space="preserve"> refers to a person or group of persons who occupy the same dwelling and do not have a usual place of residence elsewhere in Canada or abroad. The dwelling may be either a collective dwelling or a private dwelling. The household may consist of a family group such as a census family, of two or more families sharing a dwelling, of a group of unrelated persons or of a person living alone. Household members who are temporarily absent on reference day are considered part of their usual household.</w:t>
      </w:r>
    </w:p>
    <w:p w:rsidR="00DD325B" w:rsidRPr="003B3D6F" w:rsidRDefault="00DD325B" w:rsidP="006D4393">
      <w:pPr>
        <w:pStyle w:val="ListBullet"/>
      </w:pPr>
      <w:r w:rsidRPr="003B3D6F">
        <w:rPr>
          <w:rStyle w:val="Strong"/>
        </w:rPr>
        <w:t>Income</w:t>
      </w:r>
      <w:r w:rsidRPr="003B3D6F">
        <w:t xml:space="preserve">: refers to </w:t>
      </w:r>
      <w:r w:rsidR="00233939">
        <w:t xml:space="preserve">income from a variety of sources. The total income of an individual, household, or family </w:t>
      </w:r>
      <w:r w:rsidR="000232C9">
        <w:t>is comprised of market income (employment income, investment income, private retirement income, etc</w:t>
      </w:r>
      <w:r w:rsidR="00C811D2">
        <w:t>.</w:t>
      </w:r>
      <w:r w:rsidR="000232C9">
        <w:t>) and government transfers (</w:t>
      </w:r>
      <w:r w:rsidR="00B831DA">
        <w:t>a</w:t>
      </w:r>
      <w:r w:rsidR="00735824" w:rsidRPr="00735824">
        <w:rPr>
          <w:rFonts w:cs="Arial"/>
        </w:rPr>
        <w:t>ll cash benefits received from federal, provincial, territorial or municipal governments</w:t>
      </w:r>
      <w:r w:rsidR="00735824">
        <w:rPr>
          <w:rFonts w:cs="Arial"/>
        </w:rPr>
        <w:t xml:space="preserve">). </w:t>
      </w:r>
      <w:r w:rsidR="00892963">
        <w:t>More information about how Statistics Canada defines income can be found in the Census Dictionary.</w:t>
      </w:r>
    </w:p>
    <w:p w:rsidR="00A52BB7" w:rsidRDefault="00A52BB7" w:rsidP="001A3BF3">
      <w:pPr>
        <w:pStyle w:val="ListBullet"/>
        <w:rPr>
          <w:rStyle w:val="BodyChar"/>
        </w:rPr>
      </w:pPr>
      <w:r w:rsidRPr="0043125D">
        <w:rPr>
          <w:rStyle w:val="Strong"/>
        </w:rPr>
        <w:t>Low Income</w:t>
      </w:r>
      <w:r w:rsidRPr="003B3D6F">
        <w:rPr>
          <w:rFonts w:cs="Arial"/>
        </w:rPr>
        <w:t xml:space="preserve">: </w:t>
      </w:r>
      <w:r w:rsidR="00BB6D52">
        <w:rPr>
          <w:rStyle w:val="BodyChar"/>
        </w:rPr>
        <w:t xml:space="preserve">refers to </w:t>
      </w:r>
      <w:r w:rsidR="00892963">
        <w:rPr>
          <w:rStyle w:val="BodyChar"/>
        </w:rPr>
        <w:t xml:space="preserve">whether </w:t>
      </w:r>
      <w:r w:rsidR="0043125D">
        <w:rPr>
          <w:rStyle w:val="BodyChar"/>
        </w:rPr>
        <w:t>an individual, family, or household had an income below a specific low-income line. The low income line referenced throughout this backgrounder in the Low Income Measure After Tax (LIM-AT)</w:t>
      </w:r>
      <w:r w:rsidR="00BF6FD4">
        <w:rPr>
          <w:rStyle w:val="BodyChar"/>
        </w:rPr>
        <w:t xml:space="preserve">, as it is the statistic used most frequently and as a key indicator by Statistics Canada. The threshold of income varies based on the size of a household. </w:t>
      </w:r>
      <w:r w:rsidR="001A3BF3">
        <w:rPr>
          <w:rStyle w:val="BodyChar"/>
        </w:rPr>
        <w:t xml:space="preserve">For 2015, the LIM-AT threshold is $22,133 for a one person household, $31,301 for a two person household, and $44,266 for a four person household. See the </w:t>
      </w:r>
      <w:r w:rsidR="001A3BF3">
        <w:rPr>
          <w:rStyle w:val="BodyChar"/>
        </w:rPr>
        <w:lastRenderedPageBreak/>
        <w:t xml:space="preserve">Census Dictionary for the full range of LIM-AT thresholds: </w:t>
      </w:r>
      <w:hyperlink r:id="rId11" w:history="1">
        <w:r w:rsidR="001A3BF3" w:rsidRPr="007A31A4">
          <w:rPr>
            <w:rStyle w:val="Hyperlink"/>
          </w:rPr>
          <w:t>http://www12.statcan.gc.ca/census-recensement/2016/ref/dict/tab/t4_2-eng.cfm</w:t>
        </w:r>
      </w:hyperlink>
      <w:r w:rsidR="001A3BF3">
        <w:rPr>
          <w:rStyle w:val="BodyChar"/>
        </w:rPr>
        <w:t>.</w:t>
      </w:r>
    </w:p>
    <w:p w:rsidR="003B3D6F" w:rsidRPr="003B3D6F" w:rsidRDefault="003B3D6F" w:rsidP="003B3D6F">
      <w:pPr>
        <w:pStyle w:val="ListBullet"/>
      </w:pPr>
      <w:r w:rsidRPr="00BB6D52">
        <w:rPr>
          <w:rStyle w:val="Strong"/>
        </w:rPr>
        <w:t>Median</w:t>
      </w:r>
      <w:r w:rsidRPr="003B3D6F">
        <w:t>: A statistic which</w:t>
      </w:r>
      <w:r w:rsidR="00BB6D52">
        <w:t xml:space="preserve"> is a form of average. Median</w:t>
      </w:r>
      <w:r w:rsidRPr="003B3D6F">
        <w:t xml:space="preserve"> refers to the mid-point of a distribution. For </w:t>
      </w:r>
      <w:r w:rsidR="00BB6D52">
        <w:t>income</w:t>
      </w:r>
      <w:r w:rsidRPr="003B3D6F">
        <w:t xml:space="preserve"> distribution, the median </w:t>
      </w:r>
      <w:r w:rsidR="00BB6D52">
        <w:t>income</w:t>
      </w:r>
      <w:r w:rsidRPr="003B3D6F">
        <w:t xml:space="preserve"> would be the </w:t>
      </w:r>
      <w:r w:rsidR="00BB6D52">
        <w:t>income</w:t>
      </w:r>
      <w:r w:rsidRPr="003B3D6F">
        <w:t xml:space="preserve"> for which exactl</w:t>
      </w:r>
      <w:r w:rsidR="00BB6D52">
        <w:t xml:space="preserve">y one half of the population has a higher income </w:t>
      </w:r>
      <w:r w:rsidRPr="003B3D6F">
        <w:t xml:space="preserve">and the other half </w:t>
      </w:r>
      <w:r w:rsidR="00233939">
        <w:t>has a lower income.</w:t>
      </w:r>
    </w:p>
    <w:p w:rsidR="008D1C6C" w:rsidRPr="003B3D6F" w:rsidRDefault="008D1C6C" w:rsidP="003B3D6F">
      <w:pPr>
        <w:pStyle w:val="ListBullet"/>
        <w:rPr>
          <w:rFonts w:cs="Arial"/>
        </w:rPr>
      </w:pPr>
      <w:r w:rsidRPr="00233939">
        <w:rPr>
          <w:rStyle w:val="Strong"/>
        </w:rPr>
        <w:t>Neighbourhood</w:t>
      </w:r>
      <w:r w:rsidRPr="003B3D6F">
        <w:rPr>
          <w:rFonts w:cs="Arial"/>
        </w:rPr>
        <w:t xml:space="preserve">: The City of Toronto identifies 140 social planning neighbourhoods to help government and community agencies with their local planning. These neighbourhoods allow the provision of socio-economic data at a meaningful geographic area. Not all people define neighbourhoods the same way, but for the purposes of statistical reporting these neighbourhoods were defined based on Statistics Canada census tracts. More information about </w:t>
      </w:r>
      <w:hyperlink r:id="rId12" w:history="1">
        <w:r w:rsidRPr="003B3D6F">
          <w:rPr>
            <w:rStyle w:val="Hyperlink"/>
            <w:rFonts w:cs="Arial"/>
          </w:rPr>
          <w:t>City of Toronto neighbourhoods</w:t>
        </w:r>
      </w:hyperlink>
      <w:r w:rsidRPr="003B3D6F">
        <w:rPr>
          <w:rFonts w:cs="Arial"/>
        </w:rPr>
        <w:t xml:space="preserve"> can be found on the City's website.  </w:t>
      </w:r>
    </w:p>
    <w:p w:rsidR="00337DCC" w:rsidRPr="00A52BB7" w:rsidRDefault="00337DCC" w:rsidP="003B3D6F">
      <w:pPr>
        <w:pStyle w:val="ListBullet"/>
        <w:rPr>
          <w:rFonts w:cs="Arial"/>
        </w:rPr>
      </w:pPr>
      <w:r w:rsidRPr="00233939">
        <w:rPr>
          <w:rStyle w:val="Strong"/>
        </w:rPr>
        <w:t>Undercoverage</w:t>
      </w:r>
      <w:r w:rsidRPr="003B3D6F">
        <w:rPr>
          <w:rFonts w:cs="Arial"/>
        </w:rPr>
        <w:t xml:space="preserve">:  is the </w:t>
      </w:r>
      <w:r w:rsidR="00EF3506" w:rsidRPr="003B3D6F">
        <w:rPr>
          <w:rFonts w:cs="Arial"/>
        </w:rPr>
        <w:t>number of persons</w:t>
      </w:r>
      <w:r w:rsidRPr="003B3D6F">
        <w:rPr>
          <w:rFonts w:cs="Arial"/>
        </w:rPr>
        <w:t xml:space="preserve"> </w:t>
      </w:r>
      <w:r w:rsidR="00EF3506" w:rsidRPr="003B3D6F">
        <w:rPr>
          <w:rFonts w:cs="Arial"/>
        </w:rPr>
        <w:t>excluded by the Census who should have been counted</w:t>
      </w:r>
      <w:r w:rsidR="00CE48D0" w:rsidRPr="003B3D6F">
        <w:rPr>
          <w:rFonts w:cs="Arial"/>
        </w:rPr>
        <w:t>, as determined by Statistics Canada</w:t>
      </w:r>
      <w:r w:rsidR="001C6E9D" w:rsidRPr="003B3D6F">
        <w:rPr>
          <w:rFonts w:cs="Arial"/>
        </w:rPr>
        <w:t xml:space="preserve">. </w:t>
      </w:r>
      <w:r w:rsidRPr="003B3D6F">
        <w:rPr>
          <w:rFonts w:cs="Arial"/>
        </w:rPr>
        <w:t>Although Statistics Canada makes a great effort to count every person, in each Census a notable number of people are left</w:t>
      </w:r>
      <w:r w:rsidR="0032024F" w:rsidRPr="003B3D6F">
        <w:rPr>
          <w:rFonts w:cs="Arial"/>
        </w:rPr>
        <w:t xml:space="preserve"> out for a variety of reasons. </w:t>
      </w:r>
      <w:r w:rsidRPr="003B3D6F">
        <w:rPr>
          <w:rFonts w:cs="Arial"/>
        </w:rPr>
        <w:t xml:space="preserve">For example, people may be traveling, some dwellings are hard to find, and some people simply refuse to participate.  </w:t>
      </w:r>
      <w:r w:rsidR="00EF3506" w:rsidRPr="003B3D6F">
        <w:rPr>
          <w:rFonts w:cs="Arial"/>
        </w:rPr>
        <w:t xml:space="preserve">Overcoverage can also occur, when people are counted more than once or should not have been </w:t>
      </w:r>
      <w:r w:rsidR="0032024F" w:rsidRPr="003B3D6F">
        <w:rPr>
          <w:rFonts w:cs="Arial"/>
        </w:rPr>
        <w:t xml:space="preserve">counted in a given population. </w:t>
      </w:r>
      <w:r w:rsidR="00EF3506" w:rsidRPr="003B3D6F">
        <w:rPr>
          <w:rFonts w:cs="Arial"/>
        </w:rPr>
        <w:t xml:space="preserve">Undercoverage is generally </w:t>
      </w:r>
      <w:r w:rsidR="0032024F" w:rsidRPr="003B3D6F">
        <w:rPr>
          <w:rFonts w:cs="Arial"/>
        </w:rPr>
        <w:t xml:space="preserve">more common than overcoverage. </w:t>
      </w:r>
      <w:r w:rsidR="00CE48D0" w:rsidRPr="003B3D6F">
        <w:rPr>
          <w:rFonts w:cs="Arial"/>
        </w:rPr>
        <w:t>The total impact of the coverage errors is the net undercoverage</w:t>
      </w:r>
      <w:r w:rsidR="00CE48D0" w:rsidRPr="00A52BB7">
        <w:rPr>
          <w:rFonts w:cs="Arial"/>
        </w:rPr>
        <w:t>.</w:t>
      </w:r>
    </w:p>
    <w:p w:rsidR="00223162" w:rsidRPr="000749C8" w:rsidRDefault="00223162" w:rsidP="00A52BB7">
      <w:pPr>
        <w:pStyle w:val="Section"/>
      </w:pPr>
      <w:r>
        <w:t>NOTES</w:t>
      </w:r>
    </w:p>
    <w:p w:rsidR="00383ADD" w:rsidRDefault="00962CC2" w:rsidP="00A52BB7">
      <w:pPr>
        <w:pStyle w:val="Body"/>
      </w:pPr>
      <w:r>
        <w:t xml:space="preserve">All data in this backgrounder are from </w:t>
      </w:r>
      <w:r w:rsidRPr="00962CC2">
        <w:t>Statistics Canada, 2016 Census of Population.</w:t>
      </w:r>
    </w:p>
    <w:p w:rsidR="00962CC2" w:rsidRDefault="00962CC2" w:rsidP="00A52BB7">
      <w:pPr>
        <w:pStyle w:val="Body"/>
      </w:pPr>
      <w:r w:rsidRPr="00962CC2">
        <w:t xml:space="preserve">Statistics Canada. 2017. </w:t>
      </w:r>
      <w:r>
        <w:t>Various geographies</w:t>
      </w:r>
      <w:r w:rsidRPr="00962CC2">
        <w:t>. Census Profile. 2016 Census. Statistics Canada Catalogue no. 98-316-X2016001. Ottawa. Released September 13, 2017.</w:t>
      </w:r>
    </w:p>
    <w:p w:rsidR="00962CC2" w:rsidRDefault="00962CC2" w:rsidP="00A52BB7">
      <w:pPr>
        <w:pStyle w:val="Body"/>
      </w:pPr>
    </w:p>
    <w:p w:rsidR="00223162" w:rsidRDefault="00223162" w:rsidP="00A52BB7">
      <w:pPr>
        <w:pStyle w:val="Body"/>
      </w:pPr>
      <w:r w:rsidRPr="00C701C9">
        <w:t xml:space="preserve">All data in this backgrounder </w:t>
      </w:r>
      <w:r>
        <w:t>are</w:t>
      </w:r>
      <w:r w:rsidRPr="00C701C9">
        <w:t xml:space="preserve"> based on geographic boundaries available at time of writing. In the event of any future boundary revisions, some data totals may c</w:t>
      </w:r>
      <w:r w:rsidRPr="00CD6DEF">
        <w:t xml:space="preserve">hange. This is especially the case for small area units such as </w:t>
      </w:r>
      <w:r>
        <w:t>C</w:t>
      </w:r>
      <w:r w:rsidRPr="00CD6DEF">
        <w:t xml:space="preserve">ensus </w:t>
      </w:r>
      <w:r>
        <w:t>T</w:t>
      </w:r>
      <w:r w:rsidRPr="00CD6DEF">
        <w:t>racts.</w:t>
      </w:r>
    </w:p>
    <w:p w:rsidR="00223162" w:rsidRDefault="00223162" w:rsidP="00A52BB7">
      <w:pPr>
        <w:pStyle w:val="Body"/>
        <w:rPr>
          <w:rFonts w:cs="Arial"/>
        </w:rPr>
      </w:pPr>
    </w:p>
    <w:p w:rsidR="0013275C" w:rsidRDefault="00223162" w:rsidP="00E749E4">
      <w:pPr>
        <w:pStyle w:val="Body"/>
        <w:rPr>
          <w:rFonts w:cs="Arial"/>
          <w:kern w:val="2"/>
        </w:rPr>
      </w:pPr>
      <w:r w:rsidRPr="00043300">
        <w:rPr>
          <w:rFonts w:cs="Arial"/>
        </w:rPr>
        <w:t>The information previou</w:t>
      </w:r>
      <w:r>
        <w:rPr>
          <w:rFonts w:cs="Arial"/>
        </w:rPr>
        <w:t>sly collected by the long-form C</w:t>
      </w:r>
      <w:r w:rsidRPr="00043300">
        <w:rPr>
          <w:rFonts w:cs="Arial"/>
        </w:rPr>
        <w:t>ensus questionnaire was collected in 2011 as part of the voluntary National Household Survey.</w:t>
      </w:r>
      <w:r w:rsidR="001C6E9D">
        <w:rPr>
          <w:rFonts w:cs="Arial"/>
        </w:rPr>
        <w:t xml:space="preserve"> </w:t>
      </w:r>
      <w:r w:rsidRPr="00043300">
        <w:rPr>
          <w:rFonts w:cs="Arial"/>
        </w:rPr>
        <w:t xml:space="preserve">In 2016, Statistics Canada </w:t>
      </w:r>
      <w:r>
        <w:rPr>
          <w:rFonts w:cs="Arial"/>
        </w:rPr>
        <w:t>restored the mandatory long-form C</w:t>
      </w:r>
      <w:r w:rsidRPr="00043300">
        <w:rPr>
          <w:rFonts w:cs="Arial"/>
        </w:rPr>
        <w:t>ensus questionnaire in an effo</w:t>
      </w:r>
      <w:r w:rsidR="00B8342E">
        <w:rPr>
          <w:rFonts w:cs="Arial"/>
        </w:rPr>
        <w:t xml:space="preserve">rt to improve data collection. </w:t>
      </w:r>
      <w:r w:rsidR="00C2248A">
        <w:rPr>
          <w:rFonts w:cs="Arial"/>
        </w:rPr>
        <w:t xml:space="preserve">For the 2016 Census, income data </w:t>
      </w:r>
      <w:r w:rsidR="00C2248A">
        <w:rPr>
          <w:rFonts w:cs="Arial"/>
          <w:kern w:val="2"/>
        </w:rPr>
        <w:t>for the Census of Population was gathered exclusively from administrative sources</w:t>
      </w:r>
      <w:r w:rsidR="00B8342E">
        <w:rPr>
          <w:rFonts w:cs="Arial"/>
          <w:kern w:val="2"/>
        </w:rPr>
        <w:t>. This was the first time a</w:t>
      </w:r>
      <w:r w:rsidR="00013D38">
        <w:rPr>
          <w:rFonts w:cs="Arial"/>
          <w:kern w:val="2"/>
        </w:rPr>
        <w:t xml:space="preserve">ll income data was gathered in this manner. </w:t>
      </w:r>
    </w:p>
    <w:p w:rsidR="0013275C" w:rsidRDefault="0013275C" w:rsidP="00E749E4">
      <w:pPr>
        <w:pStyle w:val="Body"/>
        <w:rPr>
          <w:rFonts w:cs="Arial"/>
          <w:kern w:val="2"/>
        </w:rPr>
      </w:pPr>
    </w:p>
    <w:p w:rsidR="0013275C" w:rsidRPr="0013275C" w:rsidRDefault="00013D38" w:rsidP="00E749E4">
      <w:pPr>
        <w:pStyle w:val="Body"/>
      </w:pPr>
      <w:r>
        <w:rPr>
          <w:rFonts w:cs="Arial"/>
          <w:kern w:val="2"/>
        </w:rPr>
        <w:t xml:space="preserve">In 2016, </w:t>
      </w:r>
      <w:r w:rsidR="0013275C">
        <w:rPr>
          <w:rFonts w:cs="Arial"/>
          <w:kern w:val="2"/>
        </w:rPr>
        <w:t xml:space="preserve">the income data represents </w:t>
      </w:r>
      <w:r>
        <w:rPr>
          <w:rFonts w:cs="Arial"/>
          <w:kern w:val="2"/>
        </w:rPr>
        <w:t>a 100% sample</w:t>
      </w:r>
      <w:r w:rsidR="0013275C">
        <w:rPr>
          <w:rFonts w:cs="Arial"/>
          <w:kern w:val="2"/>
        </w:rPr>
        <w:t xml:space="preserve"> and uses</w:t>
      </w:r>
      <w:r>
        <w:rPr>
          <w:rFonts w:cs="Arial"/>
          <w:kern w:val="2"/>
        </w:rPr>
        <w:t xml:space="preserve"> actual tax data, while the last long-form Census, in 2006, collected data from </w:t>
      </w:r>
      <w:r w:rsidR="0013275C">
        <w:rPr>
          <w:rFonts w:cs="Arial"/>
          <w:kern w:val="2"/>
        </w:rPr>
        <w:t>a 20% sample,</w:t>
      </w:r>
      <w:r w:rsidR="00853FDA">
        <w:rPr>
          <w:rFonts w:cs="Arial"/>
          <w:kern w:val="2"/>
        </w:rPr>
        <w:t xml:space="preserve"> </w:t>
      </w:r>
      <w:r w:rsidR="0013275C">
        <w:rPr>
          <w:rFonts w:cs="Arial"/>
          <w:kern w:val="2"/>
        </w:rPr>
        <w:t xml:space="preserve">and </w:t>
      </w:r>
      <w:r w:rsidR="00853FDA">
        <w:rPr>
          <w:rFonts w:cs="Arial"/>
          <w:kern w:val="2"/>
        </w:rPr>
        <w:t>us</w:t>
      </w:r>
      <w:r w:rsidR="0013275C">
        <w:rPr>
          <w:rFonts w:cs="Arial"/>
          <w:kern w:val="2"/>
        </w:rPr>
        <w:t>ed mostly</w:t>
      </w:r>
      <w:r w:rsidR="00853FDA">
        <w:rPr>
          <w:rFonts w:cs="Arial"/>
          <w:kern w:val="2"/>
        </w:rPr>
        <w:t xml:space="preserve"> self-reported income data. It is not clear how directly comparable these two sets of income data are. Statistics Canada has not released any time series comparison data for geographies smaller than a Census Metropolitan Area, so this backgrounder </w:t>
      </w:r>
      <w:r w:rsidR="0013275C">
        <w:rPr>
          <w:rFonts w:cs="Arial"/>
          <w:kern w:val="2"/>
        </w:rPr>
        <w:t>does include any income data from earlier Censuses.</w:t>
      </w:r>
    </w:p>
    <w:p w:rsidR="0013275C" w:rsidRDefault="0013275C">
      <w:pPr>
        <w:spacing w:after="160" w:line="259" w:lineRule="auto"/>
        <w:rPr>
          <w:b/>
          <w:caps/>
          <w:sz w:val="26"/>
        </w:rPr>
      </w:pPr>
      <w:r>
        <w:br w:type="page"/>
      </w:r>
    </w:p>
    <w:p w:rsidR="00223162" w:rsidRPr="000749C8" w:rsidRDefault="00223162" w:rsidP="00E749E4">
      <w:pPr>
        <w:pStyle w:val="Section"/>
      </w:pPr>
      <w:r>
        <w:lastRenderedPageBreak/>
        <w:t>FUTURE CENSUS RELEASES</w:t>
      </w:r>
    </w:p>
    <w:p w:rsidR="00A5625E" w:rsidRDefault="002473CF" w:rsidP="00E749E4">
      <w:pPr>
        <w:pStyle w:val="Body"/>
      </w:pPr>
      <w:r>
        <w:t>The City of Toronto will be releasing more backgrounders coinciding with each Census release</w:t>
      </w:r>
      <w:r w:rsidR="001A6C79">
        <w:t>, except for the Census of Agriculture</w:t>
      </w:r>
      <w:r>
        <w:t xml:space="preserve">. The Census release schedule is </w:t>
      </w:r>
      <w:r w:rsidR="00A5625E">
        <w:t>available from Statistics Canada, online at:</w:t>
      </w:r>
      <w:r w:rsidR="00250271">
        <w:t xml:space="preserve">  </w:t>
      </w:r>
      <w:hyperlink r:id="rId13" w:history="1">
        <w:r w:rsidR="0032024F" w:rsidRPr="00BB6DAB">
          <w:rPr>
            <w:rStyle w:val="Hyperlink"/>
          </w:rPr>
          <w:t>https://www12.statcan.gc.ca/census-recensement/</w:t>
        </w:r>
        <w:r w:rsidR="0032024F" w:rsidRPr="00BB6DAB">
          <w:rPr>
            <w:rStyle w:val="Hyperlink"/>
          </w:rPr>
          <w:br/>
          <w:t>index-eng.cfm</w:t>
        </w:r>
      </w:hyperlink>
      <w:r w:rsidR="00250271">
        <w:t xml:space="preserve">. </w:t>
      </w:r>
      <w:r w:rsidR="00CE48D0">
        <w:t>The City of Toronto will be preparing backgrounders for the following releases:</w:t>
      </w:r>
    </w:p>
    <w:p w:rsidR="00A5625E" w:rsidRDefault="00A5625E" w:rsidP="00E749E4">
      <w:pPr>
        <w:pStyle w:val="Body"/>
      </w:pPr>
    </w:p>
    <w:tbl>
      <w:tblPr>
        <w:tblW w:w="7424"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2692"/>
        <w:gridCol w:w="4732"/>
      </w:tblGrid>
      <w:tr w:rsidR="00A5625E" w:rsidRPr="00A5625E" w:rsidTr="00977CCD">
        <w:trPr>
          <w:trHeight w:val="837"/>
          <w:jc w:val="center"/>
        </w:trPr>
        <w:tc>
          <w:tcPr>
            <w:tcW w:w="2692" w:type="dxa"/>
            <w:shd w:val="clear" w:color="auto" w:fill="auto"/>
            <w:tcMar>
              <w:top w:w="120" w:type="dxa"/>
              <w:left w:w="120" w:type="dxa"/>
              <w:bottom w:w="120" w:type="dxa"/>
              <w:right w:w="120" w:type="dxa"/>
            </w:tcMar>
            <w:hideMark/>
          </w:tcPr>
          <w:p w:rsidR="00A5625E" w:rsidRPr="00A5625E" w:rsidRDefault="00A5625E" w:rsidP="00E749E4">
            <w:pPr>
              <w:pStyle w:val="Body"/>
              <w:rPr>
                <w:lang w:eastAsia="en-CA"/>
              </w:rPr>
            </w:pPr>
            <w:r w:rsidRPr="00A5625E">
              <w:rPr>
                <w:lang w:eastAsia="en-CA"/>
              </w:rPr>
              <w:t>October 25, 2017</w:t>
            </w:r>
          </w:p>
        </w:tc>
        <w:tc>
          <w:tcPr>
            <w:tcW w:w="4732" w:type="dxa"/>
            <w:shd w:val="clear" w:color="auto" w:fill="auto"/>
            <w:tcMar>
              <w:top w:w="120" w:type="dxa"/>
              <w:left w:w="120" w:type="dxa"/>
              <w:bottom w:w="120" w:type="dxa"/>
              <w:right w:w="120" w:type="dxa"/>
            </w:tcMar>
            <w:hideMark/>
          </w:tcPr>
          <w:p w:rsidR="00A5625E" w:rsidRPr="00A5625E" w:rsidRDefault="00A5625E" w:rsidP="00E749E4">
            <w:pPr>
              <w:pStyle w:val="Body"/>
              <w:rPr>
                <w:lang w:eastAsia="en-CA"/>
              </w:rPr>
            </w:pPr>
            <w:r w:rsidRPr="00A5625E">
              <w:rPr>
                <w:lang w:eastAsia="en-CA"/>
              </w:rPr>
              <w:t>Immigration and ethnocultural diversity</w:t>
            </w:r>
          </w:p>
          <w:p w:rsidR="00A5625E" w:rsidRPr="00A5625E" w:rsidRDefault="00A5625E" w:rsidP="00E749E4">
            <w:pPr>
              <w:pStyle w:val="Body"/>
              <w:rPr>
                <w:lang w:eastAsia="en-CA"/>
              </w:rPr>
            </w:pPr>
            <w:r w:rsidRPr="00A5625E">
              <w:rPr>
                <w:lang w:eastAsia="en-CA"/>
              </w:rPr>
              <w:t>Housing</w:t>
            </w:r>
          </w:p>
          <w:p w:rsidR="00A5625E" w:rsidRPr="00A5625E" w:rsidRDefault="00A5625E" w:rsidP="00E749E4">
            <w:pPr>
              <w:pStyle w:val="Body"/>
              <w:rPr>
                <w:lang w:eastAsia="en-CA"/>
              </w:rPr>
            </w:pPr>
            <w:r w:rsidRPr="00A5625E">
              <w:rPr>
                <w:lang w:eastAsia="en-CA"/>
              </w:rPr>
              <w:t>Aboriginal peoples</w:t>
            </w:r>
          </w:p>
        </w:tc>
      </w:tr>
      <w:tr w:rsidR="00A5625E" w:rsidRPr="00A5625E" w:rsidTr="00977CCD">
        <w:trPr>
          <w:trHeight w:val="1197"/>
          <w:jc w:val="center"/>
        </w:trPr>
        <w:tc>
          <w:tcPr>
            <w:tcW w:w="2692" w:type="dxa"/>
            <w:shd w:val="clear" w:color="auto" w:fill="auto"/>
            <w:tcMar>
              <w:top w:w="120" w:type="dxa"/>
              <w:left w:w="120" w:type="dxa"/>
              <w:bottom w:w="120" w:type="dxa"/>
              <w:right w:w="120" w:type="dxa"/>
            </w:tcMar>
            <w:hideMark/>
          </w:tcPr>
          <w:p w:rsidR="00A5625E" w:rsidRPr="00A5625E" w:rsidRDefault="00A5625E" w:rsidP="00E749E4">
            <w:pPr>
              <w:pStyle w:val="Body"/>
              <w:rPr>
                <w:lang w:eastAsia="en-CA"/>
              </w:rPr>
            </w:pPr>
            <w:r w:rsidRPr="00A5625E">
              <w:rPr>
                <w:lang w:eastAsia="en-CA"/>
              </w:rPr>
              <w:t>November 29, 2017</w:t>
            </w:r>
          </w:p>
        </w:tc>
        <w:tc>
          <w:tcPr>
            <w:tcW w:w="4732" w:type="dxa"/>
            <w:shd w:val="clear" w:color="auto" w:fill="auto"/>
            <w:tcMar>
              <w:top w:w="120" w:type="dxa"/>
              <w:left w:w="120" w:type="dxa"/>
              <w:bottom w:w="120" w:type="dxa"/>
              <w:right w:w="120" w:type="dxa"/>
            </w:tcMar>
            <w:hideMark/>
          </w:tcPr>
          <w:p w:rsidR="00A5625E" w:rsidRPr="00A5625E" w:rsidRDefault="00A5625E" w:rsidP="00E749E4">
            <w:pPr>
              <w:pStyle w:val="Body"/>
              <w:rPr>
                <w:lang w:eastAsia="en-CA"/>
              </w:rPr>
            </w:pPr>
            <w:r w:rsidRPr="00A5625E">
              <w:rPr>
                <w:lang w:eastAsia="en-CA"/>
              </w:rPr>
              <w:t>Education</w:t>
            </w:r>
          </w:p>
          <w:p w:rsidR="00A5625E" w:rsidRPr="00A5625E" w:rsidRDefault="00A5625E" w:rsidP="00E749E4">
            <w:pPr>
              <w:pStyle w:val="Body"/>
              <w:rPr>
                <w:lang w:eastAsia="en-CA"/>
              </w:rPr>
            </w:pPr>
            <w:r w:rsidRPr="00A5625E">
              <w:rPr>
                <w:lang w:eastAsia="en-CA"/>
              </w:rPr>
              <w:t>Labour</w:t>
            </w:r>
          </w:p>
          <w:p w:rsidR="00A5625E" w:rsidRPr="00A5625E" w:rsidRDefault="00A5625E" w:rsidP="00E749E4">
            <w:pPr>
              <w:pStyle w:val="Body"/>
              <w:rPr>
                <w:lang w:eastAsia="en-CA"/>
              </w:rPr>
            </w:pPr>
            <w:r w:rsidRPr="00A5625E">
              <w:rPr>
                <w:lang w:eastAsia="en-CA"/>
              </w:rPr>
              <w:t>Journey to work</w:t>
            </w:r>
          </w:p>
          <w:p w:rsidR="00A5625E" w:rsidRPr="00A5625E" w:rsidRDefault="00A5625E" w:rsidP="00E749E4">
            <w:pPr>
              <w:pStyle w:val="Body"/>
              <w:rPr>
                <w:lang w:eastAsia="en-CA"/>
              </w:rPr>
            </w:pPr>
            <w:r w:rsidRPr="00A5625E">
              <w:rPr>
                <w:lang w:eastAsia="en-CA"/>
              </w:rPr>
              <w:t>Language of work</w:t>
            </w:r>
          </w:p>
          <w:p w:rsidR="00A5625E" w:rsidRPr="00A5625E" w:rsidRDefault="00A5625E" w:rsidP="00E749E4">
            <w:pPr>
              <w:pStyle w:val="Body"/>
              <w:rPr>
                <w:lang w:eastAsia="en-CA"/>
              </w:rPr>
            </w:pPr>
            <w:r w:rsidRPr="00A5625E">
              <w:rPr>
                <w:lang w:eastAsia="en-CA"/>
              </w:rPr>
              <w:t>Mobility and migration</w:t>
            </w:r>
          </w:p>
        </w:tc>
      </w:tr>
    </w:tbl>
    <w:p w:rsidR="00FF3BC3" w:rsidRDefault="00FF3BC3" w:rsidP="00E749E4">
      <w:pPr>
        <w:pStyle w:val="Section"/>
        <w:spacing w:before="0" w:after="0"/>
      </w:pPr>
    </w:p>
    <w:p w:rsidR="00223162" w:rsidRPr="000749C8" w:rsidRDefault="00223162" w:rsidP="00E749E4">
      <w:pPr>
        <w:pStyle w:val="Section"/>
      </w:pPr>
      <w:r>
        <w:t>REFERENCES</w:t>
      </w:r>
    </w:p>
    <w:p w:rsidR="00902458" w:rsidRDefault="00902458" w:rsidP="00E749E4">
      <w:pPr>
        <w:pStyle w:val="Heading10"/>
        <w:spacing w:before="120"/>
      </w:pPr>
      <w:r>
        <w:t xml:space="preserve">Prepared by staff from:  </w:t>
      </w:r>
      <w:r>
        <w:tab/>
      </w:r>
    </w:p>
    <w:p w:rsidR="00902458" w:rsidRDefault="00902458" w:rsidP="0013275C">
      <w:pPr>
        <w:pStyle w:val="ListBullet"/>
        <w:spacing w:after="0"/>
        <w:rPr>
          <w:lang w:val="en-GB"/>
        </w:rPr>
      </w:pPr>
      <w:r w:rsidRPr="001019B5">
        <w:rPr>
          <w:lang w:val="en-GB"/>
        </w:rPr>
        <w:t>Social Developme</w:t>
      </w:r>
      <w:r w:rsidR="00FF2296">
        <w:rPr>
          <w:lang w:val="en-GB"/>
        </w:rPr>
        <w:t>nt, Finance and Administration</w:t>
      </w:r>
    </w:p>
    <w:p w:rsidR="00E7253E" w:rsidRDefault="00E7253E" w:rsidP="0013275C">
      <w:pPr>
        <w:pStyle w:val="ListBullet"/>
        <w:spacing w:after="0"/>
        <w:rPr>
          <w:lang w:val="en-GB"/>
        </w:rPr>
      </w:pPr>
      <w:r w:rsidRPr="00FF2296">
        <w:rPr>
          <w:lang w:val="en-GB"/>
        </w:rPr>
        <w:t>Children's Services</w:t>
      </w:r>
    </w:p>
    <w:p w:rsidR="00E7253E" w:rsidRPr="00FF2296" w:rsidRDefault="00E7253E" w:rsidP="0013275C">
      <w:pPr>
        <w:pStyle w:val="ListBullet"/>
        <w:spacing w:after="0"/>
        <w:rPr>
          <w:lang w:val="en-GB"/>
        </w:rPr>
      </w:pPr>
      <w:r w:rsidRPr="00FF2296">
        <w:rPr>
          <w:lang w:val="en-GB"/>
        </w:rPr>
        <w:t>Economic Development and Culture</w:t>
      </w:r>
    </w:p>
    <w:p w:rsidR="0003525A" w:rsidRPr="00E7253E" w:rsidRDefault="0003525A" w:rsidP="0003525A">
      <w:pPr>
        <w:pStyle w:val="ListBullet"/>
        <w:spacing w:after="0"/>
        <w:rPr>
          <w:lang w:val="en-GB"/>
        </w:rPr>
      </w:pPr>
      <w:r>
        <w:rPr>
          <w:lang w:val="en-GB"/>
        </w:rPr>
        <w:t>Employment &amp; Social Services</w:t>
      </w:r>
    </w:p>
    <w:p w:rsidR="0003525A" w:rsidRDefault="0003525A" w:rsidP="0003525A">
      <w:pPr>
        <w:pStyle w:val="ListBullet"/>
        <w:spacing w:after="0"/>
        <w:rPr>
          <w:lang w:val="en-GB"/>
        </w:rPr>
      </w:pPr>
      <w:r>
        <w:rPr>
          <w:lang w:val="en-GB"/>
        </w:rPr>
        <w:t>Environment &amp; Energy</w:t>
      </w:r>
    </w:p>
    <w:p w:rsidR="00E7253E" w:rsidRDefault="00E7253E" w:rsidP="0013275C">
      <w:pPr>
        <w:pStyle w:val="ListBullet"/>
        <w:spacing w:after="0"/>
        <w:rPr>
          <w:lang w:val="en-GB"/>
        </w:rPr>
      </w:pPr>
      <w:r>
        <w:rPr>
          <w:lang w:val="en-GB"/>
        </w:rPr>
        <w:t>Long Term Care Homes and Services</w:t>
      </w:r>
    </w:p>
    <w:p w:rsidR="00E7253E" w:rsidRDefault="00E7253E" w:rsidP="0013275C">
      <w:pPr>
        <w:pStyle w:val="ListBullet"/>
        <w:spacing w:after="0"/>
        <w:rPr>
          <w:lang w:val="en-GB"/>
        </w:rPr>
      </w:pPr>
      <w:r>
        <w:rPr>
          <w:lang w:val="en-GB"/>
        </w:rPr>
        <w:t>Toronto Public Health</w:t>
      </w:r>
    </w:p>
    <w:p w:rsidR="00902458" w:rsidRPr="00D24F7D" w:rsidRDefault="00902458" w:rsidP="00E749E4">
      <w:pPr>
        <w:pStyle w:val="Heading10"/>
        <w:spacing w:before="240"/>
        <w:rPr>
          <w:sz w:val="24"/>
        </w:rPr>
      </w:pPr>
      <w:r w:rsidRPr="00D24F7D">
        <w:rPr>
          <w:sz w:val="24"/>
        </w:rPr>
        <w:t xml:space="preserve">Media contact: </w:t>
      </w:r>
      <w:r w:rsidRPr="00D24F7D">
        <w:rPr>
          <w:b w:val="0"/>
          <w:sz w:val="24"/>
        </w:rPr>
        <w:t xml:space="preserve">Bruce Hawkins, Strategic Communications, 416-392-3496, </w:t>
      </w:r>
      <w:hyperlink r:id="rId14" w:history="1">
        <w:r w:rsidRPr="00D24F7D">
          <w:rPr>
            <w:rStyle w:val="Hyperlink"/>
            <w:b w:val="0"/>
          </w:rPr>
          <w:t>bruce.hawkins@toronto.ca</w:t>
        </w:r>
      </w:hyperlink>
      <w:r w:rsidRPr="00D24F7D">
        <w:rPr>
          <w:sz w:val="24"/>
        </w:rPr>
        <w:t xml:space="preserve"> </w:t>
      </w:r>
    </w:p>
    <w:p w:rsidR="00902458" w:rsidRPr="006043A6" w:rsidRDefault="00902458" w:rsidP="00E749E4">
      <w:pPr>
        <w:pStyle w:val="Body"/>
        <w:spacing w:before="240"/>
      </w:pPr>
      <w:r>
        <w:rPr>
          <w:b/>
        </w:rPr>
        <w:t>Staff contact:</w:t>
      </w:r>
      <w:r w:rsidRPr="00D24F7D">
        <w:rPr>
          <w:b/>
        </w:rPr>
        <w:t xml:space="preserve"> </w:t>
      </w:r>
      <w:r>
        <w:t>Harvey Low</w:t>
      </w:r>
      <w:r w:rsidRPr="00D24F7D">
        <w:t>, Social Develop</w:t>
      </w:r>
      <w:r>
        <w:t>ment, Finance &amp; Administration, 4</w:t>
      </w:r>
      <w:r w:rsidRPr="00D24F7D">
        <w:t>16-392-</w:t>
      </w:r>
      <w:r>
        <w:t xml:space="preserve">8660, </w:t>
      </w:r>
      <w:r>
        <w:rPr>
          <w:rStyle w:val="Hyperlink"/>
        </w:rPr>
        <w:t>harvey.low</w:t>
      </w:r>
      <w:r w:rsidRPr="00D24F7D">
        <w:rPr>
          <w:rStyle w:val="Hyperlink"/>
        </w:rPr>
        <w:t>@toronto.ca</w:t>
      </w:r>
    </w:p>
    <w:p w:rsidR="006043A6" w:rsidRDefault="006043A6" w:rsidP="00E749E4">
      <w:pPr>
        <w:spacing w:after="160" w:line="259" w:lineRule="auto"/>
        <w:rPr>
          <w:b/>
          <w:caps/>
          <w:sz w:val="26"/>
        </w:rPr>
      </w:pPr>
      <w:r>
        <w:br w:type="page"/>
      </w:r>
    </w:p>
    <w:p w:rsidR="001D5E29" w:rsidRDefault="001A6C79" w:rsidP="00E749E4">
      <w:pPr>
        <w:pStyle w:val="Section"/>
        <w:pBdr>
          <w:bottom w:val="single" w:sz="4" w:space="0" w:color="auto"/>
        </w:pBdr>
        <w:ind w:right="-450"/>
      </w:pPr>
      <w:r>
        <w:lastRenderedPageBreak/>
        <w:t>Charts</w:t>
      </w:r>
      <w:r w:rsidR="004556B5">
        <w:t xml:space="preserve"> and maps</w:t>
      </w:r>
    </w:p>
    <w:p w:rsidR="00F936D2" w:rsidRDefault="00F936D2">
      <w:pPr>
        <w:pStyle w:val="TableofFigures"/>
        <w:tabs>
          <w:tab w:val="right" w:leader="dot" w:pos="10070"/>
        </w:tabs>
      </w:pPr>
    </w:p>
    <w:p w:rsidR="00F936D2" w:rsidRDefault="00F936D2">
      <w:pPr>
        <w:pStyle w:val="TableofFigures"/>
        <w:tabs>
          <w:tab w:val="right" w:leader="dot" w:pos="10070"/>
        </w:tabs>
        <w:rPr>
          <w:rFonts w:asciiTheme="minorHAnsi" w:eastAsiaTheme="minorEastAsia" w:hAnsiTheme="minorHAnsi"/>
          <w:noProof/>
          <w:color w:val="auto"/>
          <w:sz w:val="22"/>
          <w:szCs w:val="22"/>
          <w:lang w:eastAsia="en-CA"/>
        </w:rPr>
      </w:pPr>
      <w:r>
        <w:fldChar w:fldCharType="begin"/>
      </w:r>
      <w:r>
        <w:instrText xml:space="preserve"> TOC \h \z \c "Figure" </w:instrText>
      </w:r>
      <w:r>
        <w:fldChar w:fldCharType="separate"/>
      </w:r>
      <w:hyperlink w:anchor="_Toc493146066" w:history="1">
        <w:r w:rsidRPr="009F1B33">
          <w:rPr>
            <w:rStyle w:val="Hyperlink"/>
            <w:noProof/>
          </w:rPr>
          <w:t>Figure 1: Median total household income by Census Division for the Greater Toronto and Hamilton Area and for Ontario and Canada</w:t>
        </w:r>
        <w:r>
          <w:rPr>
            <w:noProof/>
            <w:webHidden/>
          </w:rPr>
          <w:tab/>
        </w:r>
        <w:r>
          <w:rPr>
            <w:noProof/>
            <w:webHidden/>
          </w:rPr>
          <w:fldChar w:fldCharType="begin"/>
        </w:r>
        <w:r>
          <w:rPr>
            <w:noProof/>
            <w:webHidden/>
          </w:rPr>
          <w:instrText xml:space="preserve"> PAGEREF _Toc493146066 \h </w:instrText>
        </w:r>
        <w:r>
          <w:rPr>
            <w:noProof/>
            <w:webHidden/>
          </w:rPr>
        </w:r>
        <w:r>
          <w:rPr>
            <w:noProof/>
            <w:webHidden/>
          </w:rPr>
          <w:fldChar w:fldCharType="separate"/>
        </w:r>
        <w:r w:rsidR="0091630F">
          <w:rPr>
            <w:noProof/>
            <w:webHidden/>
          </w:rPr>
          <w:t>6</w:t>
        </w:r>
        <w:r>
          <w:rPr>
            <w:noProof/>
            <w:webHidden/>
          </w:rPr>
          <w:fldChar w:fldCharType="end"/>
        </w:r>
      </w:hyperlink>
    </w:p>
    <w:p w:rsidR="00F936D2" w:rsidRDefault="00CF6C1A">
      <w:pPr>
        <w:pStyle w:val="TableofFigures"/>
        <w:tabs>
          <w:tab w:val="right" w:leader="dot" w:pos="10070"/>
        </w:tabs>
        <w:rPr>
          <w:rFonts w:asciiTheme="minorHAnsi" w:eastAsiaTheme="minorEastAsia" w:hAnsiTheme="minorHAnsi"/>
          <w:noProof/>
          <w:color w:val="auto"/>
          <w:sz w:val="22"/>
          <w:szCs w:val="22"/>
          <w:lang w:eastAsia="en-CA"/>
        </w:rPr>
      </w:pPr>
      <w:hyperlink w:anchor="_Toc493146067" w:history="1">
        <w:r w:rsidR="00F936D2" w:rsidRPr="009F1B33">
          <w:rPr>
            <w:rStyle w:val="Hyperlink"/>
            <w:noProof/>
          </w:rPr>
          <w:t>Figure 2: Government transfers as proportion of total income by Census Division for the Greater Toronto and Hamilton Area and for Ontario and Canada</w:t>
        </w:r>
        <w:r w:rsidR="00F936D2">
          <w:rPr>
            <w:noProof/>
            <w:webHidden/>
          </w:rPr>
          <w:tab/>
        </w:r>
        <w:r w:rsidR="00F936D2">
          <w:rPr>
            <w:noProof/>
            <w:webHidden/>
          </w:rPr>
          <w:fldChar w:fldCharType="begin"/>
        </w:r>
        <w:r w:rsidR="00F936D2">
          <w:rPr>
            <w:noProof/>
            <w:webHidden/>
          </w:rPr>
          <w:instrText xml:space="preserve"> PAGEREF _Toc493146067 \h </w:instrText>
        </w:r>
        <w:r w:rsidR="00F936D2">
          <w:rPr>
            <w:noProof/>
            <w:webHidden/>
          </w:rPr>
        </w:r>
        <w:r w:rsidR="00F936D2">
          <w:rPr>
            <w:noProof/>
            <w:webHidden/>
          </w:rPr>
          <w:fldChar w:fldCharType="separate"/>
        </w:r>
        <w:r w:rsidR="0091630F">
          <w:rPr>
            <w:noProof/>
            <w:webHidden/>
          </w:rPr>
          <w:t>7</w:t>
        </w:r>
        <w:r w:rsidR="00F936D2">
          <w:rPr>
            <w:noProof/>
            <w:webHidden/>
          </w:rPr>
          <w:fldChar w:fldCharType="end"/>
        </w:r>
      </w:hyperlink>
    </w:p>
    <w:p w:rsidR="00F936D2" w:rsidRDefault="00CF6C1A">
      <w:pPr>
        <w:pStyle w:val="TableofFigures"/>
        <w:tabs>
          <w:tab w:val="right" w:leader="dot" w:pos="10070"/>
        </w:tabs>
        <w:rPr>
          <w:rFonts w:asciiTheme="minorHAnsi" w:eastAsiaTheme="minorEastAsia" w:hAnsiTheme="minorHAnsi"/>
          <w:noProof/>
          <w:color w:val="auto"/>
          <w:sz w:val="22"/>
          <w:szCs w:val="22"/>
          <w:lang w:eastAsia="en-CA"/>
        </w:rPr>
      </w:pPr>
      <w:hyperlink w:anchor="_Toc493146068" w:history="1">
        <w:r w:rsidR="00F936D2" w:rsidRPr="009F1B33">
          <w:rPr>
            <w:rStyle w:val="Hyperlink"/>
            <w:noProof/>
          </w:rPr>
          <w:t>Figure 3: Prevalence of low income (LIM-AT) by Census Division for the Greater Toronto and Hamilton Area and for Ontario and Canada</w:t>
        </w:r>
        <w:r w:rsidR="00F936D2">
          <w:rPr>
            <w:noProof/>
            <w:webHidden/>
          </w:rPr>
          <w:tab/>
        </w:r>
        <w:r w:rsidR="00F936D2">
          <w:rPr>
            <w:noProof/>
            <w:webHidden/>
          </w:rPr>
          <w:fldChar w:fldCharType="begin"/>
        </w:r>
        <w:r w:rsidR="00F936D2">
          <w:rPr>
            <w:noProof/>
            <w:webHidden/>
          </w:rPr>
          <w:instrText xml:space="preserve"> PAGEREF _Toc493146068 \h </w:instrText>
        </w:r>
        <w:r w:rsidR="00F936D2">
          <w:rPr>
            <w:noProof/>
            <w:webHidden/>
          </w:rPr>
        </w:r>
        <w:r w:rsidR="00F936D2">
          <w:rPr>
            <w:noProof/>
            <w:webHidden/>
          </w:rPr>
          <w:fldChar w:fldCharType="separate"/>
        </w:r>
        <w:r w:rsidR="0091630F">
          <w:rPr>
            <w:noProof/>
            <w:webHidden/>
          </w:rPr>
          <w:t>7</w:t>
        </w:r>
        <w:r w:rsidR="00F936D2">
          <w:rPr>
            <w:noProof/>
            <w:webHidden/>
          </w:rPr>
          <w:fldChar w:fldCharType="end"/>
        </w:r>
      </w:hyperlink>
    </w:p>
    <w:p w:rsidR="00F936D2" w:rsidRDefault="00CF6C1A">
      <w:pPr>
        <w:pStyle w:val="TableofFigures"/>
        <w:tabs>
          <w:tab w:val="right" w:leader="dot" w:pos="10070"/>
        </w:tabs>
        <w:rPr>
          <w:rFonts w:asciiTheme="minorHAnsi" w:eastAsiaTheme="minorEastAsia" w:hAnsiTheme="minorHAnsi"/>
          <w:noProof/>
          <w:color w:val="auto"/>
          <w:sz w:val="22"/>
          <w:szCs w:val="22"/>
          <w:lang w:eastAsia="en-CA"/>
        </w:rPr>
      </w:pPr>
      <w:hyperlink w:anchor="_Toc493146069" w:history="1">
        <w:r w:rsidR="00F936D2" w:rsidRPr="009F1B33">
          <w:rPr>
            <w:rStyle w:val="Hyperlink"/>
            <w:noProof/>
          </w:rPr>
          <w:t>Figure 4: Prevalence of low income (LIM-AT) by age group, City of Toronto</w:t>
        </w:r>
        <w:r w:rsidR="00F936D2">
          <w:rPr>
            <w:noProof/>
            <w:webHidden/>
          </w:rPr>
          <w:tab/>
        </w:r>
        <w:r w:rsidR="00F936D2">
          <w:rPr>
            <w:noProof/>
            <w:webHidden/>
          </w:rPr>
          <w:fldChar w:fldCharType="begin"/>
        </w:r>
        <w:r w:rsidR="00F936D2">
          <w:rPr>
            <w:noProof/>
            <w:webHidden/>
          </w:rPr>
          <w:instrText xml:space="preserve"> PAGEREF _Toc493146069 \h </w:instrText>
        </w:r>
        <w:r w:rsidR="00F936D2">
          <w:rPr>
            <w:noProof/>
            <w:webHidden/>
          </w:rPr>
        </w:r>
        <w:r w:rsidR="00F936D2">
          <w:rPr>
            <w:noProof/>
            <w:webHidden/>
          </w:rPr>
          <w:fldChar w:fldCharType="separate"/>
        </w:r>
        <w:r w:rsidR="0091630F">
          <w:rPr>
            <w:noProof/>
            <w:webHidden/>
          </w:rPr>
          <w:t>8</w:t>
        </w:r>
        <w:r w:rsidR="00F936D2">
          <w:rPr>
            <w:noProof/>
            <w:webHidden/>
          </w:rPr>
          <w:fldChar w:fldCharType="end"/>
        </w:r>
      </w:hyperlink>
    </w:p>
    <w:p w:rsidR="00F936D2" w:rsidRDefault="00CF6C1A">
      <w:pPr>
        <w:pStyle w:val="TableofFigures"/>
        <w:tabs>
          <w:tab w:val="right" w:leader="dot" w:pos="10070"/>
        </w:tabs>
        <w:rPr>
          <w:rFonts w:asciiTheme="minorHAnsi" w:eastAsiaTheme="minorEastAsia" w:hAnsiTheme="minorHAnsi"/>
          <w:noProof/>
          <w:color w:val="auto"/>
          <w:sz w:val="22"/>
          <w:szCs w:val="22"/>
          <w:lang w:eastAsia="en-CA"/>
        </w:rPr>
      </w:pPr>
      <w:hyperlink w:anchor="_Toc493146070" w:history="1">
        <w:r w:rsidR="00F936D2" w:rsidRPr="009F1B33">
          <w:rPr>
            <w:rStyle w:val="Hyperlink"/>
            <w:noProof/>
          </w:rPr>
          <w:t>Figure 5: Prevalence of low income (LIM-AT) by age group, Greater Toronto and Hamilton Area Census Divisions</w:t>
        </w:r>
        <w:r w:rsidR="00F936D2">
          <w:rPr>
            <w:noProof/>
            <w:webHidden/>
          </w:rPr>
          <w:tab/>
        </w:r>
        <w:r w:rsidR="00F936D2">
          <w:rPr>
            <w:noProof/>
            <w:webHidden/>
          </w:rPr>
          <w:fldChar w:fldCharType="begin"/>
        </w:r>
        <w:r w:rsidR="00F936D2">
          <w:rPr>
            <w:noProof/>
            <w:webHidden/>
          </w:rPr>
          <w:instrText xml:space="preserve"> PAGEREF _Toc493146070 \h </w:instrText>
        </w:r>
        <w:r w:rsidR="00F936D2">
          <w:rPr>
            <w:noProof/>
            <w:webHidden/>
          </w:rPr>
        </w:r>
        <w:r w:rsidR="00F936D2">
          <w:rPr>
            <w:noProof/>
            <w:webHidden/>
          </w:rPr>
          <w:fldChar w:fldCharType="separate"/>
        </w:r>
        <w:r w:rsidR="0091630F">
          <w:rPr>
            <w:noProof/>
            <w:webHidden/>
          </w:rPr>
          <w:t>8</w:t>
        </w:r>
        <w:r w:rsidR="00F936D2">
          <w:rPr>
            <w:noProof/>
            <w:webHidden/>
          </w:rPr>
          <w:fldChar w:fldCharType="end"/>
        </w:r>
      </w:hyperlink>
    </w:p>
    <w:p w:rsidR="00F936D2" w:rsidRDefault="00CF6C1A">
      <w:pPr>
        <w:pStyle w:val="TableofFigures"/>
        <w:tabs>
          <w:tab w:val="right" w:leader="dot" w:pos="10070"/>
        </w:tabs>
        <w:rPr>
          <w:rFonts w:asciiTheme="minorHAnsi" w:eastAsiaTheme="minorEastAsia" w:hAnsiTheme="minorHAnsi"/>
          <w:noProof/>
          <w:color w:val="auto"/>
          <w:sz w:val="22"/>
          <w:szCs w:val="22"/>
          <w:lang w:eastAsia="en-CA"/>
        </w:rPr>
      </w:pPr>
      <w:hyperlink w:anchor="_Toc493146071" w:history="1">
        <w:r w:rsidR="00F936D2" w:rsidRPr="009F1B33">
          <w:rPr>
            <w:rStyle w:val="Hyperlink"/>
            <w:noProof/>
          </w:rPr>
          <w:t>Figure 6: Proportion of individuals with employment income by selected income brackets, Census Division for Toronto, the Greater Toronto and Hamilton Area, Ontario and Canada</w:t>
        </w:r>
        <w:r w:rsidR="00F936D2">
          <w:rPr>
            <w:noProof/>
            <w:webHidden/>
          </w:rPr>
          <w:tab/>
        </w:r>
        <w:r w:rsidR="00F936D2">
          <w:rPr>
            <w:noProof/>
            <w:webHidden/>
          </w:rPr>
          <w:fldChar w:fldCharType="begin"/>
        </w:r>
        <w:r w:rsidR="00F936D2">
          <w:rPr>
            <w:noProof/>
            <w:webHidden/>
          </w:rPr>
          <w:instrText xml:space="preserve"> PAGEREF _Toc493146071 \h </w:instrText>
        </w:r>
        <w:r w:rsidR="00F936D2">
          <w:rPr>
            <w:noProof/>
            <w:webHidden/>
          </w:rPr>
        </w:r>
        <w:r w:rsidR="00F936D2">
          <w:rPr>
            <w:noProof/>
            <w:webHidden/>
          </w:rPr>
          <w:fldChar w:fldCharType="separate"/>
        </w:r>
        <w:r w:rsidR="0091630F">
          <w:rPr>
            <w:noProof/>
            <w:webHidden/>
          </w:rPr>
          <w:t>9</w:t>
        </w:r>
        <w:r w:rsidR="00F936D2">
          <w:rPr>
            <w:noProof/>
            <w:webHidden/>
          </w:rPr>
          <w:fldChar w:fldCharType="end"/>
        </w:r>
      </w:hyperlink>
    </w:p>
    <w:p w:rsidR="00F936D2" w:rsidRDefault="00F936D2">
      <w:pPr>
        <w:pStyle w:val="TableofFigures"/>
        <w:tabs>
          <w:tab w:val="right" w:leader="dot" w:pos="10070"/>
        </w:tabs>
      </w:pPr>
      <w:r>
        <w:fldChar w:fldCharType="end"/>
      </w:r>
    </w:p>
    <w:p w:rsidR="00F936D2" w:rsidRDefault="00F936D2">
      <w:pPr>
        <w:pStyle w:val="TableofFigures"/>
        <w:tabs>
          <w:tab w:val="right" w:leader="dot" w:pos="10070"/>
        </w:tabs>
        <w:rPr>
          <w:noProof/>
        </w:rPr>
      </w:pPr>
      <w:r>
        <w:fldChar w:fldCharType="begin"/>
      </w:r>
      <w:r>
        <w:instrText xml:space="preserve"> TOC \h \z \c "Map" </w:instrText>
      </w:r>
      <w:r>
        <w:fldChar w:fldCharType="separate"/>
      </w:r>
      <w:hyperlink w:anchor="_Toc493146048" w:history="1">
        <w:r w:rsidRPr="00C020D9">
          <w:rPr>
            <w:rStyle w:val="Hyperlink"/>
            <w:noProof/>
          </w:rPr>
          <w:t>Map 1: Median Household Income by Census Subdivision in the GTHA, 2015</w:t>
        </w:r>
        <w:r>
          <w:rPr>
            <w:noProof/>
            <w:webHidden/>
          </w:rPr>
          <w:tab/>
        </w:r>
        <w:r>
          <w:rPr>
            <w:noProof/>
            <w:webHidden/>
          </w:rPr>
          <w:fldChar w:fldCharType="begin"/>
        </w:r>
        <w:r>
          <w:rPr>
            <w:noProof/>
            <w:webHidden/>
          </w:rPr>
          <w:instrText xml:space="preserve"> PAGEREF _Toc493146048 \h </w:instrText>
        </w:r>
        <w:r>
          <w:rPr>
            <w:noProof/>
            <w:webHidden/>
          </w:rPr>
        </w:r>
        <w:r>
          <w:rPr>
            <w:noProof/>
            <w:webHidden/>
          </w:rPr>
          <w:fldChar w:fldCharType="separate"/>
        </w:r>
        <w:r w:rsidR="0091630F">
          <w:rPr>
            <w:noProof/>
            <w:webHidden/>
          </w:rPr>
          <w:t>10</w:t>
        </w:r>
        <w:r>
          <w:rPr>
            <w:noProof/>
            <w:webHidden/>
          </w:rPr>
          <w:fldChar w:fldCharType="end"/>
        </w:r>
      </w:hyperlink>
    </w:p>
    <w:p w:rsidR="00F936D2" w:rsidRDefault="00CF6C1A">
      <w:pPr>
        <w:pStyle w:val="TableofFigures"/>
        <w:tabs>
          <w:tab w:val="right" w:leader="dot" w:pos="10070"/>
        </w:tabs>
        <w:rPr>
          <w:noProof/>
        </w:rPr>
      </w:pPr>
      <w:hyperlink w:anchor="_Toc493146049" w:history="1">
        <w:r w:rsidR="00F936D2" w:rsidRPr="00C020D9">
          <w:rPr>
            <w:rStyle w:val="Hyperlink"/>
            <w:noProof/>
          </w:rPr>
          <w:t>Map 2: Prevalence of Low Income (LIM-AT) by Census Subdivision in the GTHA, 2015</w:t>
        </w:r>
        <w:r w:rsidR="00F936D2">
          <w:rPr>
            <w:noProof/>
            <w:webHidden/>
          </w:rPr>
          <w:tab/>
        </w:r>
        <w:r w:rsidR="00F936D2">
          <w:rPr>
            <w:noProof/>
            <w:webHidden/>
          </w:rPr>
          <w:fldChar w:fldCharType="begin"/>
        </w:r>
        <w:r w:rsidR="00F936D2">
          <w:rPr>
            <w:noProof/>
            <w:webHidden/>
          </w:rPr>
          <w:instrText xml:space="preserve"> PAGEREF _Toc493146049 \h </w:instrText>
        </w:r>
        <w:r w:rsidR="00F936D2">
          <w:rPr>
            <w:noProof/>
            <w:webHidden/>
          </w:rPr>
        </w:r>
        <w:r w:rsidR="00F936D2">
          <w:rPr>
            <w:noProof/>
            <w:webHidden/>
          </w:rPr>
          <w:fldChar w:fldCharType="separate"/>
        </w:r>
        <w:r w:rsidR="0091630F">
          <w:rPr>
            <w:noProof/>
            <w:webHidden/>
          </w:rPr>
          <w:t>12</w:t>
        </w:r>
        <w:r w:rsidR="00F936D2">
          <w:rPr>
            <w:noProof/>
            <w:webHidden/>
          </w:rPr>
          <w:fldChar w:fldCharType="end"/>
        </w:r>
      </w:hyperlink>
    </w:p>
    <w:p w:rsidR="00F936D2" w:rsidRDefault="00F936D2" w:rsidP="009F273F">
      <w:pPr>
        <w:pStyle w:val="Caption"/>
        <w:keepNext/>
      </w:pPr>
      <w:r>
        <w:fldChar w:fldCharType="end"/>
      </w:r>
    </w:p>
    <w:p w:rsidR="00F936D2" w:rsidRDefault="00F936D2" w:rsidP="009F273F">
      <w:pPr>
        <w:pStyle w:val="Caption"/>
        <w:keepNext/>
      </w:pPr>
    </w:p>
    <w:p w:rsidR="009F273F" w:rsidRDefault="009F273F" w:rsidP="009F273F">
      <w:pPr>
        <w:pStyle w:val="Caption"/>
        <w:keepNext/>
      </w:pPr>
      <w:bookmarkStart w:id="1" w:name="_Toc493146066"/>
      <w:r>
        <w:t xml:space="preserve">Figure </w:t>
      </w:r>
      <w:fldSimple w:instr=" SEQ Figure \* ARABIC ">
        <w:r w:rsidR="0091630F">
          <w:rPr>
            <w:noProof/>
          </w:rPr>
          <w:t>1</w:t>
        </w:r>
      </w:fldSimple>
      <w:r>
        <w:t xml:space="preserve">: </w:t>
      </w:r>
      <w:r w:rsidRPr="00172059">
        <w:t>Median total household income by Census Division for the Greater Toronto and Hamilton Area and for Ontario and Canada</w:t>
      </w:r>
      <w:bookmarkEnd w:id="1"/>
    </w:p>
    <w:p w:rsidR="004677CC" w:rsidRDefault="00030D46" w:rsidP="00E749E4">
      <w:pPr>
        <w:pStyle w:val="Body"/>
      </w:pPr>
      <w:r>
        <w:rPr>
          <w:noProof/>
          <w:lang w:eastAsia="en-CA"/>
        </w:rPr>
        <w:drawing>
          <wp:inline distT="0" distB="0" distL="0" distR="0" wp14:anchorId="41D36906">
            <wp:extent cx="6492240" cy="3374136"/>
            <wp:effectExtent l="0" t="0" r="3810" b="0"/>
            <wp:docPr id="6" name="Picture 6" descr="This image is a chart showing the median income of all Census Divisions in the GTHA, as well as for Ontario and Canada.&#10;Of all GTHA regions, Toronto had the lowest median household income in 2015.&#10;The figures are:&#10;Halton: $103009&#10;York: $95776&#10;Durham: $89834&#10;Peel: $86233&#10;Hamilton: $69024&#10;Toronto: $65829&#10;Ontario: $74287&#10;Canada: $70336" title="Figure 1: Median total household income by Census Division for the Greater Toronto and Hamilton Area and for Ontario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2240" cy="3374136"/>
                    </a:xfrm>
                    <a:prstGeom prst="rect">
                      <a:avLst/>
                    </a:prstGeom>
                    <a:noFill/>
                  </pic:spPr>
                </pic:pic>
              </a:graphicData>
            </a:graphic>
          </wp:inline>
        </w:drawing>
      </w:r>
    </w:p>
    <w:p w:rsidR="007D50E2" w:rsidRDefault="007D50E2" w:rsidP="00E749E4">
      <w:pPr>
        <w:pStyle w:val="Body"/>
      </w:pPr>
    </w:p>
    <w:p w:rsidR="009F273F" w:rsidRDefault="009F273F" w:rsidP="009F273F">
      <w:pPr>
        <w:pStyle w:val="Caption"/>
        <w:keepNext/>
      </w:pPr>
      <w:bookmarkStart w:id="2" w:name="_Toc493146067"/>
      <w:r>
        <w:lastRenderedPageBreak/>
        <w:t xml:space="preserve">Figure </w:t>
      </w:r>
      <w:fldSimple w:instr=" SEQ Figure \* ARABIC ">
        <w:r w:rsidR="0091630F">
          <w:rPr>
            <w:noProof/>
          </w:rPr>
          <w:t>2</w:t>
        </w:r>
      </w:fldSimple>
      <w:r>
        <w:t>: Government transfers as proportion of total income</w:t>
      </w:r>
      <w:r w:rsidRPr="00B56FC3">
        <w:t xml:space="preserve"> by Census Division for the Greater Toronto and Hamilton Area and for Ontario and Canada</w:t>
      </w:r>
      <w:bookmarkEnd w:id="2"/>
    </w:p>
    <w:p w:rsidR="009215EF" w:rsidRDefault="009215EF" w:rsidP="00E749E4">
      <w:pPr>
        <w:pStyle w:val="Body"/>
      </w:pPr>
      <w:r>
        <w:rPr>
          <w:noProof/>
          <w:lang w:eastAsia="en-CA"/>
        </w:rPr>
        <w:drawing>
          <wp:inline distT="0" distB="0" distL="0" distR="0" wp14:anchorId="11507D23">
            <wp:extent cx="6492240" cy="3749040"/>
            <wp:effectExtent l="0" t="0" r="3810" b="3810"/>
            <wp:docPr id="7" name="Picture 7" descr="This image is a chart showing goverment transfers as a proportion of total income for all Census Divisions in the GTHA, as well as for Ontario and Canada.&#10;The proportion of Torontonians' income from government transfers is lower that the provincial and national averages.&#10;The figures are:&#10;Hamilton: 13.3%&#10;Peel: 10.4%&#10;Durham: 10.2%&#10;Toronto: 9.4%&#10;York: 8.4%&#10;Halton: 6.7%&#10;Ontario: 11.1%&#10;Canada: 11.7%" title="Figure 2: Government transfers as proportion of total income by Census Division for the Greater Toronto and Hamilton Area and for Ontario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3749040"/>
                    </a:xfrm>
                    <a:prstGeom prst="rect">
                      <a:avLst/>
                    </a:prstGeom>
                    <a:noFill/>
                  </pic:spPr>
                </pic:pic>
              </a:graphicData>
            </a:graphic>
          </wp:inline>
        </w:drawing>
      </w:r>
    </w:p>
    <w:p w:rsidR="00B52649" w:rsidRDefault="00B52649" w:rsidP="005342FC">
      <w:pPr>
        <w:pStyle w:val="Caption"/>
        <w:keepNext/>
      </w:pPr>
      <w:bookmarkStart w:id="3" w:name="_Toc493146068"/>
    </w:p>
    <w:p w:rsidR="005342FC" w:rsidRDefault="005342FC" w:rsidP="005342FC">
      <w:pPr>
        <w:pStyle w:val="Caption"/>
        <w:keepNext/>
      </w:pPr>
      <w:r>
        <w:t xml:space="preserve">Figure </w:t>
      </w:r>
      <w:fldSimple w:instr=" SEQ Figure \* ARABIC ">
        <w:r w:rsidR="0091630F">
          <w:rPr>
            <w:noProof/>
          </w:rPr>
          <w:t>3</w:t>
        </w:r>
      </w:fldSimple>
      <w:r>
        <w:t xml:space="preserve">: </w:t>
      </w:r>
      <w:r w:rsidRPr="003E0B10">
        <w:t>Prevalence of low income (LIM-AT) by Census Division for the Greater Toronto and Hamilton Area and for Ontario and Canada</w:t>
      </w:r>
      <w:bookmarkEnd w:id="3"/>
    </w:p>
    <w:p w:rsidR="00F3696E" w:rsidRDefault="00F3696E" w:rsidP="00E749E4">
      <w:pPr>
        <w:pStyle w:val="Body"/>
      </w:pPr>
      <w:r>
        <w:rPr>
          <w:noProof/>
          <w:lang w:eastAsia="en-CA"/>
        </w:rPr>
        <w:drawing>
          <wp:inline distT="0" distB="0" distL="0" distR="0" wp14:anchorId="551207FA">
            <wp:extent cx="6492240" cy="3145536"/>
            <wp:effectExtent l="0" t="0" r="3810" b="0"/>
            <wp:docPr id="5" name="Picture 5" descr="This image is a chart showing the prevalence of low income under LIM-AT for all Census Divisions in the GTHA, as well as for Ontario and Canada.&#10;Of all GTHA regions, Toronto has the highest rate of low income.&#10;The figures are:&#10;Toronto: 20.2%&#10;Hamilton: 15.3%&#10;Peel: 12.8%&#10;York: 12%&#10;Durham: 9.7%&#10;Halton: 8.2%&#10;Ontario: 14.4%&#10;Canada: 14.2%" title="Figure 3: Prevalence of low income (LIM-AT) by Census Division for the Greater Toronto and Hamilton Area and for Ontario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3145536"/>
                    </a:xfrm>
                    <a:prstGeom prst="rect">
                      <a:avLst/>
                    </a:prstGeom>
                    <a:noFill/>
                  </pic:spPr>
                </pic:pic>
              </a:graphicData>
            </a:graphic>
          </wp:inline>
        </w:drawing>
      </w:r>
    </w:p>
    <w:p w:rsidR="00A108E4" w:rsidRDefault="00A108E4" w:rsidP="00E749E4">
      <w:pPr>
        <w:pStyle w:val="Body"/>
      </w:pPr>
    </w:p>
    <w:p w:rsidR="004A34E0" w:rsidRDefault="004A34E0" w:rsidP="004A34E0">
      <w:pPr>
        <w:pStyle w:val="Caption"/>
        <w:keepNext/>
      </w:pPr>
      <w:bookmarkStart w:id="4" w:name="_Toc493146069"/>
      <w:r>
        <w:lastRenderedPageBreak/>
        <w:t xml:space="preserve">Figure </w:t>
      </w:r>
      <w:r w:rsidR="00CF6C1A">
        <w:fldChar w:fldCharType="begin"/>
      </w:r>
      <w:r w:rsidR="00CF6C1A">
        <w:instrText xml:space="preserve"> SEQ Figure \* ARABIC </w:instrText>
      </w:r>
      <w:r w:rsidR="00CF6C1A">
        <w:fldChar w:fldCharType="separate"/>
      </w:r>
      <w:r w:rsidR="0091630F">
        <w:rPr>
          <w:noProof/>
        </w:rPr>
        <w:t>4</w:t>
      </w:r>
      <w:r w:rsidR="00CF6C1A">
        <w:rPr>
          <w:noProof/>
        </w:rPr>
        <w:fldChar w:fldCharType="end"/>
      </w:r>
      <w:r>
        <w:t xml:space="preserve">: </w:t>
      </w:r>
      <w:r w:rsidRPr="00971572">
        <w:t>Prevalence of low income (LIM-AT) by age group, City of Toronto</w:t>
      </w:r>
      <w:bookmarkEnd w:id="4"/>
    </w:p>
    <w:p w:rsidR="00F936D2" w:rsidRDefault="004A34E0" w:rsidP="00F936D2">
      <w:r>
        <w:rPr>
          <w:noProof/>
          <w:lang w:eastAsia="en-CA"/>
        </w:rPr>
        <w:drawing>
          <wp:inline distT="0" distB="0" distL="0" distR="0" wp14:anchorId="771109B1" wp14:editId="63ADB147">
            <wp:extent cx="6492240" cy="3721608"/>
            <wp:effectExtent l="0" t="0" r="3810" b="0"/>
            <wp:docPr id="2" name="Picture 2" descr="This image is a chart showing the prevalence of low income under LIM-AT for select age groups within the City of Toronto.&#10;In Toronto in 2015, children and young adults were the age groups most affected by low incomes.&#10;The figures are:&#10;All age groups: 20.2%&#10;Under 6 years: 26.3%&#10;6 to 17 years: 26.3%&#10;18 to 24 years: 27%&#10;25 to 54 years: 18%&#10;55 to 64 years: 17.7%&#10;65 years and older: 17.4%" title="Figure 4: Prevalence of low income (LIM-AT) by age group, City of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2240" cy="3721608"/>
                    </a:xfrm>
                    <a:prstGeom prst="rect">
                      <a:avLst/>
                    </a:prstGeom>
                    <a:noFill/>
                  </pic:spPr>
                </pic:pic>
              </a:graphicData>
            </a:graphic>
          </wp:inline>
        </w:drawing>
      </w:r>
    </w:p>
    <w:p w:rsidR="00F936D2" w:rsidRDefault="00F936D2" w:rsidP="00F936D2"/>
    <w:p w:rsidR="00FA5DC0" w:rsidRDefault="00FA5DC0" w:rsidP="00F936D2">
      <w:bookmarkStart w:id="5" w:name="_Toc493146070"/>
      <w:r>
        <w:t xml:space="preserve">Figure </w:t>
      </w:r>
      <w:fldSimple w:instr=" SEQ Figure \* ARABIC ">
        <w:r w:rsidR="0091630F">
          <w:rPr>
            <w:noProof/>
          </w:rPr>
          <w:t>5</w:t>
        </w:r>
      </w:fldSimple>
      <w:r>
        <w:t xml:space="preserve">: </w:t>
      </w:r>
      <w:r w:rsidRPr="00DA0D22">
        <w:t xml:space="preserve">Prevalence of low income (LIM-AT) </w:t>
      </w:r>
      <w:r>
        <w:t>by age group, G</w:t>
      </w:r>
      <w:r w:rsidRPr="00DA0D22">
        <w:t>reater T</w:t>
      </w:r>
      <w:r>
        <w:t>oronto and Hamilton Area Census Divisions</w:t>
      </w:r>
      <w:bookmarkEnd w:id="5"/>
    </w:p>
    <w:p w:rsidR="0028689D" w:rsidRDefault="00B52649" w:rsidP="00F936D2">
      <w:r>
        <w:rPr>
          <w:noProof/>
          <w:lang w:eastAsia="en-CA"/>
        </w:rPr>
        <w:drawing>
          <wp:inline distT="0" distB="0" distL="0" distR="0" wp14:anchorId="4360E5D3">
            <wp:extent cx="6519672" cy="3538728"/>
            <wp:effectExtent l="0" t="0" r="0" b="5080"/>
            <wp:docPr id="16" name="Picture 16" descr="This image is a chart showing the prevalence of low income under LIM-AT for select age groups  for all Census Divisions in the GTHA.&#10;Toronto is the only GTHA region where young adults (age 18-24) have the highest rate of low income. Toronto has the highest rate of low income for every age group across the GTHA regions.&#10;This chart does not provide specific figures.&#10;All other GTHA regions show a similar pattern of the highest low income rates affecting children, but not young adults." title="Figure 5: Prevalence of low income (LIM-AT) by age group, Greater Toronto and Hamilton Area Census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9672" cy="3538728"/>
                    </a:xfrm>
                    <a:prstGeom prst="rect">
                      <a:avLst/>
                    </a:prstGeom>
                    <a:noFill/>
                  </pic:spPr>
                </pic:pic>
              </a:graphicData>
            </a:graphic>
          </wp:inline>
        </w:drawing>
      </w:r>
    </w:p>
    <w:p w:rsidR="00FA5DC0" w:rsidRDefault="00FA5DC0" w:rsidP="007679A3">
      <w:pPr>
        <w:pStyle w:val="Caption"/>
        <w:keepNext/>
      </w:pPr>
    </w:p>
    <w:p w:rsidR="00FA5DC0" w:rsidRDefault="00FA5DC0" w:rsidP="00FA5DC0"/>
    <w:p w:rsidR="00FA5DC0" w:rsidRDefault="00FA5DC0" w:rsidP="00FA5DC0"/>
    <w:p w:rsidR="007703A0" w:rsidRDefault="007703A0" w:rsidP="007703A0">
      <w:pPr>
        <w:pStyle w:val="Caption"/>
        <w:keepNext/>
      </w:pPr>
      <w:bookmarkStart w:id="6" w:name="_Toc493146071"/>
      <w:r>
        <w:lastRenderedPageBreak/>
        <w:t xml:space="preserve">Figure </w:t>
      </w:r>
      <w:fldSimple w:instr=" SEQ Figure \* ARABIC ">
        <w:r w:rsidR="0091630F">
          <w:rPr>
            <w:noProof/>
          </w:rPr>
          <w:t>6</w:t>
        </w:r>
      </w:fldSimple>
      <w:r>
        <w:t xml:space="preserve">: </w:t>
      </w:r>
      <w:r w:rsidRPr="00B26122">
        <w:t>Proportion of individuals with employment income by selected income brackets, Census Division for Toronto, the Greater Toronto and Hamilton Area, Ontario and Canada</w:t>
      </w:r>
      <w:bookmarkEnd w:id="6"/>
    </w:p>
    <w:p w:rsidR="007703A0" w:rsidRDefault="007703A0" w:rsidP="00E749E4">
      <w:pPr>
        <w:pStyle w:val="Body"/>
        <w:rPr>
          <w:noProof/>
          <w:lang w:eastAsia="en-CA"/>
        </w:rPr>
      </w:pPr>
      <w:r>
        <w:rPr>
          <w:noProof/>
          <w:lang w:eastAsia="en-CA"/>
        </w:rPr>
        <w:drawing>
          <wp:inline distT="0" distB="0" distL="0" distR="0" wp14:anchorId="3F70BF27">
            <wp:extent cx="6492240" cy="7068312"/>
            <wp:effectExtent l="0" t="0" r="3810" b="0"/>
            <wp:docPr id="11" name="Picture 11" descr="This image is a chart showing the proportion of individuals with employment income by slected income barckets for Toronto, the entire GTHA (combined), Ontario, and Canada.&#10;Toronto has a higher proportion of high income earners (&gt;$100,000) than the GTHA, Ontario, and Canada, but also has a higher proportion of lower income earners (&lt;$20,000) than the GTHA and Canada." title="Figure 6: Proportion of individuals with employment income by selected income brackets, Census Division for Toronto, the Greater Toronto and Hamilton Area, Ontario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2240" cy="7068312"/>
                    </a:xfrm>
                    <a:prstGeom prst="rect">
                      <a:avLst/>
                    </a:prstGeom>
                    <a:noFill/>
                  </pic:spPr>
                </pic:pic>
              </a:graphicData>
            </a:graphic>
          </wp:inline>
        </w:drawing>
      </w:r>
    </w:p>
    <w:p w:rsidR="007703A0" w:rsidRDefault="007703A0" w:rsidP="00E749E4">
      <w:pPr>
        <w:pStyle w:val="Body"/>
        <w:rPr>
          <w:noProof/>
          <w:lang w:eastAsia="en-CA"/>
        </w:rPr>
      </w:pPr>
    </w:p>
    <w:p w:rsidR="007703A0" w:rsidRDefault="007703A0" w:rsidP="00E749E4">
      <w:pPr>
        <w:pStyle w:val="Body"/>
        <w:rPr>
          <w:noProof/>
          <w:lang w:eastAsia="en-CA"/>
        </w:rPr>
      </w:pPr>
    </w:p>
    <w:p w:rsidR="00767E89" w:rsidRDefault="00767E89" w:rsidP="00E749E4">
      <w:pPr>
        <w:pStyle w:val="Body"/>
        <w:rPr>
          <w:noProof/>
          <w:lang w:eastAsia="en-CA"/>
        </w:rPr>
      </w:pPr>
    </w:p>
    <w:p w:rsidR="00767E89" w:rsidRDefault="00767E89">
      <w:pPr>
        <w:spacing w:after="160" w:line="259" w:lineRule="auto"/>
        <w:rPr>
          <w:noProof/>
          <w:lang w:eastAsia="en-CA"/>
        </w:rPr>
      </w:pPr>
      <w:r>
        <w:rPr>
          <w:noProof/>
          <w:lang w:eastAsia="en-CA"/>
        </w:rPr>
        <w:br w:type="page"/>
      </w:r>
    </w:p>
    <w:p w:rsidR="00EE1176" w:rsidRDefault="00EE1176" w:rsidP="00E749E4">
      <w:pPr>
        <w:pStyle w:val="Body"/>
        <w:rPr>
          <w:noProof/>
          <w:lang w:eastAsia="en-CA"/>
        </w:rPr>
        <w:sectPr w:rsidR="00EE1176" w:rsidSect="00C2748B">
          <w:footerReference w:type="default" r:id="rId21"/>
          <w:headerReference w:type="first" r:id="rId22"/>
          <w:pgSz w:w="12240" w:h="15840"/>
          <w:pgMar w:top="1080" w:right="1170" w:bottom="1080" w:left="990" w:header="720" w:footer="720" w:gutter="0"/>
          <w:cols w:space="720"/>
          <w:titlePg/>
          <w:docGrid w:linePitch="360"/>
        </w:sectPr>
      </w:pPr>
    </w:p>
    <w:p w:rsidR="007E7D75" w:rsidRDefault="007E7D75" w:rsidP="00D35FCD">
      <w:pPr>
        <w:pStyle w:val="Caption"/>
        <w:keepNext/>
      </w:pPr>
      <w:bookmarkStart w:id="7" w:name="_Toc493146048"/>
      <w:r>
        <w:lastRenderedPageBreak/>
        <w:t xml:space="preserve">Map </w:t>
      </w:r>
      <w:fldSimple w:instr=" SEQ Map \* ARABIC ">
        <w:r w:rsidR="0091630F">
          <w:rPr>
            <w:noProof/>
          </w:rPr>
          <w:t>1</w:t>
        </w:r>
      </w:fldSimple>
      <w:r>
        <w:t xml:space="preserve">: </w:t>
      </w:r>
      <w:r w:rsidRPr="00465DDA">
        <w:t>Median Household Income by Census Subdivision in the GTHA, 2015</w:t>
      </w:r>
      <w:bookmarkEnd w:id="7"/>
    </w:p>
    <w:p w:rsidR="007E7D75" w:rsidRDefault="007E7D75" w:rsidP="00E749E4">
      <w:pPr>
        <w:pStyle w:val="Body"/>
        <w:sectPr w:rsidR="007E7D75" w:rsidSect="00EE1176">
          <w:headerReference w:type="default" r:id="rId23"/>
          <w:headerReference w:type="first" r:id="rId24"/>
          <w:pgSz w:w="12240" w:h="15840"/>
          <w:pgMar w:top="1080" w:right="1170" w:bottom="1080" w:left="990" w:header="720" w:footer="720" w:gutter="0"/>
          <w:cols w:space="720"/>
          <w:docGrid w:linePitch="360"/>
        </w:sectPr>
      </w:pPr>
      <w:r>
        <w:rPr>
          <w:noProof/>
          <w:lang w:eastAsia="en-CA"/>
        </w:rPr>
        <w:drawing>
          <wp:inline distT="0" distB="0" distL="0" distR="0">
            <wp:extent cx="6400800" cy="8284845"/>
            <wp:effectExtent l="0" t="0" r="0" b="1905"/>
            <wp:docPr id="4" name="Picture 4" descr="This image is a map showing the median housheld income in cities (Census Subdivisions) across the GTHA.&#10;Median household income in 2015 shows a pattern of lower income in Toronto and Hamilton, middling income in the eastern parts of the GTHA such as Durham Region and higher income in Oakville, King, Caledon and other northwestern parts of the GTHA. The number of persons per household is generally higher in the 905 municipalities and this may affect household income numbers." title="Map 1: Median Household Income by Census Subdivision in the GTH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csd16 income median hshld GTHA v1.1.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8284845"/>
                    </a:xfrm>
                    <a:prstGeom prst="rect">
                      <a:avLst/>
                    </a:prstGeom>
                  </pic:spPr>
                </pic:pic>
              </a:graphicData>
            </a:graphic>
          </wp:inline>
        </w:drawing>
      </w:r>
    </w:p>
    <w:p w:rsidR="007E7D75" w:rsidRDefault="00EA0FE3" w:rsidP="005C6DE3">
      <w:pPr>
        <w:pStyle w:val="Caption"/>
        <w:keepNext/>
        <w:sectPr w:rsidR="007E7D75" w:rsidSect="005C6DE3">
          <w:pgSz w:w="15840" w:h="12240" w:orient="landscape"/>
          <w:pgMar w:top="720" w:right="1080" w:bottom="720" w:left="1080" w:header="720" w:footer="720" w:gutter="0"/>
          <w:cols w:space="720"/>
          <w:docGrid w:linePitch="360"/>
        </w:sectPr>
      </w:pPr>
      <w:r>
        <w:rPr>
          <w:noProof/>
          <w:lang w:eastAsia="en-CA"/>
        </w:rPr>
        <w:lastRenderedPageBreak/>
        <mc:AlternateContent>
          <mc:Choice Requires="wps">
            <w:drawing>
              <wp:anchor distT="0" distB="0" distL="114300" distR="114300" simplePos="0" relativeHeight="251666432" behindDoc="0" locked="0" layoutInCell="1" allowOverlap="1" wp14:anchorId="7602D5FB" wp14:editId="65D7E5F5">
                <wp:simplePos x="0" y="0"/>
                <wp:positionH relativeFrom="column">
                  <wp:posOffset>200025</wp:posOffset>
                </wp:positionH>
                <wp:positionV relativeFrom="paragraph">
                  <wp:posOffset>0</wp:posOffset>
                </wp:positionV>
                <wp:extent cx="8283575" cy="457200"/>
                <wp:effectExtent l="0" t="0" r="3175" b="0"/>
                <wp:wrapSquare wrapText="bothSides"/>
                <wp:docPr id="1" name="Text Box 1"/>
                <wp:cNvGraphicFramePr/>
                <a:graphic xmlns:a="http://schemas.openxmlformats.org/drawingml/2006/main">
                  <a:graphicData uri="http://schemas.microsoft.com/office/word/2010/wordprocessingShape">
                    <wps:wsp>
                      <wps:cNvSpPr txBox="1"/>
                      <wps:spPr>
                        <a:xfrm>
                          <a:off x="0" y="0"/>
                          <a:ext cx="8283575" cy="457200"/>
                        </a:xfrm>
                        <a:prstGeom prst="rect">
                          <a:avLst/>
                        </a:prstGeom>
                        <a:noFill/>
                        <a:ln>
                          <a:noFill/>
                        </a:ln>
                        <a:effectLst/>
                      </wps:spPr>
                      <wps:txbx>
                        <w:txbxContent>
                          <w:p w:rsidR="00EA0FE3" w:rsidRPr="00C3479E" w:rsidRDefault="00EA0FE3" w:rsidP="00EA0FE3">
                            <w:pPr>
                              <w:pStyle w:val="Caption"/>
                              <w:rPr>
                                <w:noProof/>
                              </w:rPr>
                            </w:pPr>
                            <w:r>
                              <w:t xml:space="preserve">Map </w:t>
                            </w:r>
                            <w:fldSimple w:instr=" SEQ Map \* ARABIC ">
                              <w:r w:rsidR="0091630F">
                                <w:rPr>
                                  <w:noProof/>
                                </w:rPr>
                                <w:t>2</w:t>
                              </w:r>
                            </w:fldSimple>
                            <w:r>
                              <w:t xml:space="preserve">: </w:t>
                            </w:r>
                            <w:r w:rsidRPr="00461475">
                              <w:t>Median Household Income by Census Tract in the City of Toronto,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602D5FB" id="_x0000_t202" coordsize="21600,21600" o:spt="202" path="m,l,21600r21600,l21600,xe">
                <v:stroke joinstyle="miter"/>
                <v:path gradientshapeok="t" o:connecttype="rect"/>
              </v:shapetype>
              <v:shape id="Text Box 1" o:spid="_x0000_s1026" type="#_x0000_t202" style="position:absolute;margin-left:15.75pt;margin-top:0;width:652.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" filled="f" stroked="f">
                <v:textbox inset="0,0,0,0">
                  <w:txbxContent>
                    <w:p w:rsidR="00EA0FE3" w:rsidRPr="00C3479E" w:rsidRDefault="00EA0FE3" w:rsidP="00EA0FE3">
                      <w:pPr>
                        <w:pStyle w:val="Caption"/>
                        <w:rPr>
                          <w:noProof/>
                        </w:rPr>
                      </w:pPr>
                      <w:r>
                        <w:t xml:space="preserve">Map </w:t>
                      </w:r>
                      <w:fldSimple w:instr=" SEQ Map \* ARABIC ">
                        <w:r w:rsidR="0091630F">
                          <w:rPr>
                            <w:noProof/>
                          </w:rPr>
                          <w:t>2</w:t>
                        </w:r>
                      </w:fldSimple>
                      <w:r>
                        <w:t xml:space="preserve">: </w:t>
                      </w:r>
                      <w:r w:rsidRPr="00461475">
                        <w:t>Median Household Income by Census Tract in the City of Toronto, 2015</w:t>
                      </w:r>
                    </w:p>
                  </w:txbxContent>
                </v:textbox>
                <w10:wrap type="square"/>
              </v:shape>
            </w:pict>
          </mc:Fallback>
        </mc:AlternateContent>
      </w:r>
      <w:r w:rsidR="00FA0D20">
        <w:rPr>
          <w:noProof/>
          <w:lang w:eastAsia="en-CA"/>
        </w:rPr>
        <w:drawing>
          <wp:anchor distT="0" distB="0" distL="114300" distR="114300" simplePos="0" relativeHeight="251664384" behindDoc="0" locked="0" layoutInCell="1" allowOverlap="1">
            <wp:simplePos x="0" y="0"/>
            <wp:positionH relativeFrom="margin">
              <wp:posOffset>200025</wp:posOffset>
            </wp:positionH>
            <wp:positionV relativeFrom="paragraph">
              <wp:posOffset>133188</wp:posOffset>
            </wp:positionV>
            <wp:extent cx="8283575" cy="6400800"/>
            <wp:effectExtent l="0" t="0" r="3175" b="0"/>
            <wp:wrapSquare wrapText="bothSides"/>
            <wp:docPr id="18" name="Picture 18" descr="This image is a map showing the median household income of Census Tracts in the city of Toronto.&#10;The map shows Median total income of households in 2015  by Census Tract for the City of Toronto. The areas of highest median household income are central Toronto, and the Royal York Rd and Bloor St area.  The pattern of lower median income forms a U shape beginning in north west Etobicoke, down and through the downtown core, and upwards through Scarborough." title="Map 2: Median Household Income by Census Tract in the City of Toron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t16_TOR_median hshld incomev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83575" cy="6400800"/>
                    </a:xfrm>
                    <a:prstGeom prst="rect">
                      <a:avLst/>
                    </a:prstGeom>
                  </pic:spPr>
                </pic:pic>
              </a:graphicData>
            </a:graphic>
          </wp:anchor>
        </w:drawing>
      </w:r>
    </w:p>
    <w:p w:rsidR="00F1672A" w:rsidRDefault="00F1672A" w:rsidP="00D35FCD">
      <w:pPr>
        <w:pStyle w:val="Caption"/>
        <w:keepNext/>
      </w:pPr>
      <w:bookmarkStart w:id="8" w:name="_Toc493146049"/>
      <w:r>
        <w:lastRenderedPageBreak/>
        <w:t xml:space="preserve">Map </w:t>
      </w:r>
      <w:fldSimple w:instr=" SEQ Map \* ARABIC ">
        <w:r w:rsidR="0091630F">
          <w:rPr>
            <w:noProof/>
          </w:rPr>
          <w:t>3</w:t>
        </w:r>
      </w:fldSimple>
      <w:r>
        <w:t xml:space="preserve">: Prevalence of Low Income (LIM-AT) </w:t>
      </w:r>
      <w:r w:rsidRPr="00AE7891">
        <w:t>by Census Subdivision in the GTHA, 2015</w:t>
      </w:r>
      <w:bookmarkEnd w:id="8"/>
    </w:p>
    <w:p w:rsidR="007E7D75" w:rsidRDefault="00F1672A" w:rsidP="00E749E4">
      <w:pPr>
        <w:pStyle w:val="Body"/>
        <w:sectPr w:rsidR="007E7D75" w:rsidSect="007E7D75">
          <w:pgSz w:w="12240" w:h="15840"/>
          <w:pgMar w:top="1080" w:right="1170" w:bottom="1080" w:left="990" w:header="720" w:footer="720" w:gutter="0"/>
          <w:cols w:space="720"/>
          <w:docGrid w:linePitch="360"/>
        </w:sectPr>
      </w:pPr>
      <w:r>
        <w:rPr>
          <w:noProof/>
          <w:lang w:eastAsia="en-CA"/>
        </w:rPr>
        <w:drawing>
          <wp:inline distT="0" distB="0" distL="0" distR="0">
            <wp:extent cx="6400800" cy="8275320"/>
            <wp:effectExtent l="0" t="0" r="0" b="0"/>
            <wp:docPr id="14" name="Picture 14" descr="This image is a map showing the prevalence of low income in cities (Census Subdivisions) across the GTHA.&#10;The percentage of persons living in low income is highest in Toronto, Mississauga, Hamilton, Oshawa and Markham. It is lowest in Halton Hills, Caledon and Clarington. Low income is calculated using the Low Income Measure - After Tax method for the year 2015 from the 2016 Census." title="Map 3: Prevalence of Low Income (LIM-AT) by Census Subdivision in the GTH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csd16 income limat pct GTHA v1.1.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8275320"/>
                    </a:xfrm>
                    <a:prstGeom prst="rect">
                      <a:avLst/>
                    </a:prstGeom>
                  </pic:spPr>
                </pic:pic>
              </a:graphicData>
            </a:graphic>
          </wp:inline>
        </w:drawing>
      </w:r>
    </w:p>
    <w:p w:rsidR="007E7D75" w:rsidRDefault="00EA0FE3" w:rsidP="00E749E4">
      <w:pPr>
        <w:pStyle w:val="Body"/>
      </w:pPr>
      <w:r>
        <w:rPr>
          <w:noProof/>
          <w:lang w:eastAsia="en-CA"/>
        </w:rPr>
        <w:lastRenderedPageBreak/>
        <w:drawing>
          <wp:anchor distT="0" distB="0" distL="114300" distR="114300" simplePos="0" relativeHeight="251663359" behindDoc="0" locked="0" layoutInCell="1" allowOverlap="1">
            <wp:simplePos x="0" y="0"/>
            <wp:positionH relativeFrom="margin">
              <wp:align>center</wp:align>
            </wp:positionH>
            <wp:positionV relativeFrom="page">
              <wp:posOffset>764969</wp:posOffset>
            </wp:positionV>
            <wp:extent cx="8284210" cy="6401435"/>
            <wp:effectExtent l="0" t="0" r="2540" b="0"/>
            <wp:wrapSquare wrapText="bothSides"/>
            <wp:docPr id="24" name="Picture 24" descr="This image is a map showing the prevalence of low income in Census Tracts in the city of Toronto.&#10;The map shows the prevalence of low income based on the Low-income measure, after tax (LIM-AT) (%)  in 2015  by Census Tract for the City of Toronto. The percentage of persons living in low income is highest in several areas around the City, while the areas of areas of lowest persons in low income are south west Etobicoke, central Toronto, and north east Scarborough. Low income is calculated using the Low Income Measure - After Tax method for the year 2015 from the 2016 Census." title="Map 4: Prevalence of Low Income (LIM-AT) by Census Tract in the City of Toron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t16_income limat pct_TO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4210" cy="6401435"/>
                    </a:xfrm>
                    <a:prstGeom prst="rect">
                      <a:avLst/>
                    </a:prstGeom>
                  </pic:spPr>
                </pic:pic>
              </a:graphicData>
            </a:graphic>
          </wp:anchor>
        </w:drawing>
      </w:r>
      <w:r>
        <w:rPr>
          <w:noProof/>
          <w:lang w:eastAsia="en-CA"/>
        </w:rPr>
        <mc:AlternateContent>
          <mc:Choice Requires="wps">
            <w:drawing>
              <wp:anchor distT="0" distB="0" distL="114300" distR="114300" simplePos="0" relativeHeight="251669504" behindDoc="0" locked="0" layoutInCell="1" allowOverlap="1" wp14:anchorId="7E777989" wp14:editId="487E8690">
                <wp:simplePos x="0" y="0"/>
                <wp:positionH relativeFrom="column">
                  <wp:posOffset>200025</wp:posOffset>
                </wp:positionH>
                <wp:positionV relativeFrom="paragraph">
                  <wp:posOffset>0</wp:posOffset>
                </wp:positionV>
                <wp:extent cx="8284210" cy="457200"/>
                <wp:effectExtent l="0" t="0" r="2540" b="0"/>
                <wp:wrapSquare wrapText="bothSides"/>
                <wp:docPr id="25" name="Text Box 25"/>
                <wp:cNvGraphicFramePr/>
                <a:graphic xmlns:a="http://schemas.openxmlformats.org/drawingml/2006/main">
                  <a:graphicData uri="http://schemas.microsoft.com/office/word/2010/wordprocessingShape">
                    <wps:wsp>
                      <wps:cNvSpPr txBox="1"/>
                      <wps:spPr>
                        <a:xfrm>
                          <a:off x="0" y="0"/>
                          <a:ext cx="8284210" cy="457200"/>
                        </a:xfrm>
                        <a:prstGeom prst="rect">
                          <a:avLst/>
                        </a:prstGeom>
                        <a:noFill/>
                        <a:ln>
                          <a:noFill/>
                        </a:ln>
                        <a:effectLst/>
                      </wps:spPr>
                      <wps:txbx>
                        <w:txbxContent>
                          <w:p w:rsidR="00EA0FE3" w:rsidRPr="00BF0C7F" w:rsidRDefault="00EA0FE3" w:rsidP="00EA0FE3">
                            <w:pPr>
                              <w:pStyle w:val="Caption"/>
                              <w:rPr>
                                <w:noProof/>
                                <w:szCs w:val="24"/>
                              </w:rPr>
                            </w:pPr>
                            <w:r>
                              <w:t xml:space="preserve">Map </w:t>
                            </w:r>
                            <w:fldSimple w:instr=" SEQ Map \* ARABIC ">
                              <w:r w:rsidR="0091630F">
                                <w:rPr>
                                  <w:noProof/>
                                </w:rPr>
                                <w:t>4</w:t>
                              </w:r>
                            </w:fldSimple>
                            <w:r>
                              <w:t xml:space="preserve">: </w:t>
                            </w:r>
                            <w:r w:rsidRPr="009730F2">
                              <w:t xml:space="preserve">Prevalence of Low Income (LIM-AT) by Census </w:t>
                            </w:r>
                            <w:r>
                              <w:t>Tract</w:t>
                            </w:r>
                            <w:r w:rsidRPr="009730F2">
                              <w:t xml:space="preserve"> in the </w:t>
                            </w:r>
                            <w:r>
                              <w:t>City of Toronto</w:t>
                            </w:r>
                            <w:r w:rsidRPr="009730F2">
                              <w:t>,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777989" id="Text Box 25" o:spid="_x0000_s1027" type="#_x0000_t202" style="position:absolute;margin-left:15.75pt;margin-top:0;width:652.3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" filled="f" stroked="f">
                <v:textbox inset="0,0,0,0">
                  <w:txbxContent>
                    <w:p w:rsidR="00EA0FE3" w:rsidRPr="00BF0C7F" w:rsidRDefault="00EA0FE3" w:rsidP="00EA0FE3">
                      <w:pPr>
                        <w:pStyle w:val="Caption"/>
                        <w:rPr>
                          <w:noProof/>
                          <w:szCs w:val="24"/>
                        </w:rPr>
                      </w:pPr>
                      <w:r>
                        <w:t xml:space="preserve">Map </w:t>
                      </w:r>
                      <w:fldSimple w:instr=" SEQ Map \* ARABIC ">
                        <w:r w:rsidR="0091630F">
                          <w:rPr>
                            <w:noProof/>
                          </w:rPr>
                          <w:t>4</w:t>
                        </w:r>
                      </w:fldSimple>
                      <w:r>
                        <w:t xml:space="preserve">: </w:t>
                      </w:r>
                      <w:r w:rsidRPr="009730F2">
                        <w:t xml:space="preserve">Prevalence of Low Income (LIM-AT) by Census </w:t>
                      </w:r>
                      <w:r>
                        <w:t>Tract</w:t>
                      </w:r>
                      <w:r w:rsidRPr="009730F2">
                        <w:t xml:space="preserve"> in the </w:t>
                      </w:r>
                      <w:r>
                        <w:t>City of Toronto</w:t>
                      </w:r>
                      <w:r w:rsidRPr="009730F2">
                        <w:t>, 2015</w:t>
                      </w:r>
                    </w:p>
                  </w:txbxContent>
                </v:textbox>
                <w10:wrap type="square"/>
              </v:shape>
            </w:pict>
          </mc:Fallback>
        </mc:AlternateContent>
      </w:r>
    </w:p>
    <w:sectPr w:rsidR="007E7D75" w:rsidSect="00D35FCD">
      <w:pgSz w:w="15840" w:h="12240" w:orient="landscape"/>
      <w:pgMar w:top="990" w:right="1080" w:bottom="117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C1A" w:rsidRDefault="00CF6C1A" w:rsidP="00043CA2">
      <w:r>
        <w:separator/>
      </w:r>
    </w:p>
  </w:endnote>
  <w:endnote w:type="continuationSeparator" w:id="0">
    <w:p w:rsidR="00CF6C1A" w:rsidRDefault="00CF6C1A" w:rsidP="0004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D6F" w:rsidRDefault="003B3D6F">
    <w:pPr>
      <w:pStyle w:val="Footer"/>
    </w:pPr>
    <w:r>
      <w:t>Census 2016: Income</w:t>
    </w:r>
    <w:r>
      <w:ptab w:relativeTo="margin" w:alignment="center" w:leader="none"/>
    </w:r>
    <w:r>
      <w:ptab w:relativeTo="margin" w:alignment="right" w:leader="none"/>
    </w:r>
    <w:r>
      <w:fldChar w:fldCharType="begin"/>
    </w:r>
    <w:r>
      <w:instrText xml:space="preserve"> PAGE  \* Arabic  \* MERGEFORMAT </w:instrText>
    </w:r>
    <w:r>
      <w:fldChar w:fldCharType="separate"/>
    </w:r>
    <w:r w:rsidR="004E4A7C">
      <w:rPr>
        <w:noProof/>
      </w:rPr>
      <w:t>13</w:t>
    </w:r>
    <w:r>
      <w:fldChar w:fldCharType="end"/>
    </w:r>
    <w:r>
      <w:t xml:space="preserve"> of </w:t>
    </w:r>
    <w:r w:rsidR="00CF6C1A">
      <w:fldChar w:fldCharType="begin"/>
    </w:r>
    <w:r w:rsidR="00CF6C1A">
      <w:instrText xml:space="preserve"> NUMPAGES   \* MERGEFORMAT </w:instrText>
    </w:r>
    <w:r w:rsidR="00CF6C1A">
      <w:fldChar w:fldCharType="separate"/>
    </w:r>
    <w:r w:rsidR="004E4A7C">
      <w:rPr>
        <w:noProof/>
      </w:rPr>
      <w:t>13</w:t>
    </w:r>
    <w:r w:rsidR="00CF6C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C1A" w:rsidRDefault="00CF6C1A" w:rsidP="00043CA2">
      <w:r>
        <w:separator/>
      </w:r>
    </w:p>
  </w:footnote>
  <w:footnote w:type="continuationSeparator" w:id="0">
    <w:p w:rsidR="00CF6C1A" w:rsidRDefault="00CF6C1A" w:rsidP="00043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48B" w:rsidRPr="00946BBE" w:rsidRDefault="00C2748B" w:rsidP="00C2748B">
    <w:pPr>
      <w:pStyle w:val="Title"/>
      <w:pBdr>
        <w:bottom w:val="single" w:sz="4" w:space="1" w:color="auto"/>
      </w:pBdr>
      <w:tabs>
        <w:tab w:val="right" w:pos="9360"/>
      </w:tabs>
      <w:spacing w:before="240" w:after="60"/>
      <w:rPr>
        <w:rStyle w:val="Strong"/>
        <w:bCs w:val="0"/>
        <w:sz w:val="56"/>
        <w:szCs w:val="56"/>
      </w:rPr>
    </w:pPr>
    <w:r w:rsidRPr="00946BBE">
      <w:rPr>
        <w:noProof/>
        <w:lang w:eastAsia="en-CA"/>
      </w:rPr>
      <w:drawing>
        <wp:anchor distT="0" distB="0" distL="114300" distR="114300" simplePos="0" relativeHeight="251661312" behindDoc="1" locked="0" layoutInCell="1" allowOverlap="1" wp14:anchorId="3F8596B5" wp14:editId="02F36ADC">
          <wp:simplePos x="0" y="0"/>
          <wp:positionH relativeFrom="margin">
            <wp:align>left</wp:align>
          </wp:positionH>
          <wp:positionV relativeFrom="margin">
            <wp:posOffset>-571500</wp:posOffset>
          </wp:positionV>
          <wp:extent cx="1463040" cy="457200"/>
          <wp:effectExtent l="0" t="0" r="3810" b="0"/>
          <wp:wrapNone/>
          <wp:docPr id="23" name="Picture 23" descr="This image is the City of Toron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457200"/>
                  </a:xfrm>
                  <a:prstGeom prst="rect">
                    <a:avLst/>
                  </a:prstGeom>
                </pic:spPr>
              </pic:pic>
            </a:graphicData>
          </a:graphic>
        </wp:anchor>
      </w:drawing>
    </w:r>
    <w:r>
      <w:rPr>
        <w:rStyle w:val="Strong"/>
        <w:bCs w:val="0"/>
        <w:sz w:val="56"/>
        <w:szCs w:val="56"/>
      </w:rPr>
      <w:tab/>
    </w:r>
    <w:r w:rsidRPr="00946BBE">
      <w:rPr>
        <w:rStyle w:val="Strong"/>
        <w:bCs w:val="0"/>
        <w:sz w:val="56"/>
        <w:szCs w:val="56"/>
      </w:rPr>
      <w:t>Backgrounder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176" w:rsidRDefault="00EE11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176" w:rsidRPr="00946BBE" w:rsidRDefault="00EE1176" w:rsidP="00C2748B">
    <w:pPr>
      <w:pStyle w:val="Title"/>
      <w:pBdr>
        <w:bottom w:val="single" w:sz="4" w:space="1" w:color="auto"/>
      </w:pBdr>
      <w:tabs>
        <w:tab w:val="right" w:pos="9360"/>
      </w:tabs>
      <w:spacing w:before="240" w:after="60"/>
      <w:rPr>
        <w:rStyle w:val="Strong"/>
        <w:bCs w:val="0"/>
        <w:sz w:val="56"/>
        <w:szCs w:val="5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E9C8F6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5C6F1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D15832"/>
    <w:multiLevelType w:val="hybridMultilevel"/>
    <w:tmpl w:val="5C70B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AB61872"/>
    <w:multiLevelType w:val="hybridMultilevel"/>
    <w:tmpl w:val="FC6EAE22"/>
    <w:lvl w:ilvl="0" w:tplc="10090001">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A2350F"/>
    <w:multiLevelType w:val="hybridMultilevel"/>
    <w:tmpl w:val="5EBA6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E8359BF"/>
    <w:multiLevelType w:val="hybridMultilevel"/>
    <w:tmpl w:val="7B0CDF86"/>
    <w:lvl w:ilvl="0" w:tplc="EF0C3A48">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BC7534"/>
    <w:multiLevelType w:val="hybridMultilevel"/>
    <w:tmpl w:val="A3C0793C"/>
    <w:lvl w:ilvl="0" w:tplc="EF0C3A48">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6"/>
  </w:num>
  <w:num w:numId="6">
    <w:abstractNumId w:val="2"/>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89B"/>
    <w:rsid w:val="000075DE"/>
    <w:rsid w:val="00012905"/>
    <w:rsid w:val="00013D38"/>
    <w:rsid w:val="00013DC1"/>
    <w:rsid w:val="000232C9"/>
    <w:rsid w:val="00026861"/>
    <w:rsid w:val="00030D46"/>
    <w:rsid w:val="00034EFD"/>
    <w:rsid w:val="0003525A"/>
    <w:rsid w:val="00043300"/>
    <w:rsid w:val="00043CA2"/>
    <w:rsid w:val="00050778"/>
    <w:rsid w:val="00055AAE"/>
    <w:rsid w:val="000663CE"/>
    <w:rsid w:val="000749C8"/>
    <w:rsid w:val="00083D9E"/>
    <w:rsid w:val="00091029"/>
    <w:rsid w:val="000B1B4A"/>
    <w:rsid w:val="000F3A90"/>
    <w:rsid w:val="00120356"/>
    <w:rsid w:val="00130566"/>
    <w:rsid w:val="0013275C"/>
    <w:rsid w:val="00132F20"/>
    <w:rsid w:val="00156072"/>
    <w:rsid w:val="00157E57"/>
    <w:rsid w:val="0018189B"/>
    <w:rsid w:val="00196597"/>
    <w:rsid w:val="001A20BD"/>
    <w:rsid w:val="001A3BF3"/>
    <w:rsid w:val="001A6C79"/>
    <w:rsid w:val="001C61BF"/>
    <w:rsid w:val="001C6E9D"/>
    <w:rsid w:val="001D3AF1"/>
    <w:rsid w:val="001D5E29"/>
    <w:rsid w:val="001F562F"/>
    <w:rsid w:val="001F76A2"/>
    <w:rsid w:val="00201DCE"/>
    <w:rsid w:val="00203A31"/>
    <w:rsid w:val="00223162"/>
    <w:rsid w:val="00226833"/>
    <w:rsid w:val="00230C11"/>
    <w:rsid w:val="00233939"/>
    <w:rsid w:val="00246E5C"/>
    <w:rsid w:val="002473CF"/>
    <w:rsid w:val="00250271"/>
    <w:rsid w:val="00262550"/>
    <w:rsid w:val="00274A21"/>
    <w:rsid w:val="00281F63"/>
    <w:rsid w:val="00283CA7"/>
    <w:rsid w:val="0028689D"/>
    <w:rsid w:val="002947F2"/>
    <w:rsid w:val="002A1486"/>
    <w:rsid w:val="002A2767"/>
    <w:rsid w:val="002A459F"/>
    <w:rsid w:val="002B7E74"/>
    <w:rsid w:val="002D1177"/>
    <w:rsid w:val="002D23F5"/>
    <w:rsid w:val="002E0521"/>
    <w:rsid w:val="002F2B0D"/>
    <w:rsid w:val="002F405D"/>
    <w:rsid w:val="002F448F"/>
    <w:rsid w:val="002F5724"/>
    <w:rsid w:val="002F723D"/>
    <w:rsid w:val="00305385"/>
    <w:rsid w:val="003054E3"/>
    <w:rsid w:val="00311BF9"/>
    <w:rsid w:val="00316E5C"/>
    <w:rsid w:val="00317989"/>
    <w:rsid w:val="0032024F"/>
    <w:rsid w:val="00323E8D"/>
    <w:rsid w:val="00337DCC"/>
    <w:rsid w:val="00341FEE"/>
    <w:rsid w:val="00347AE3"/>
    <w:rsid w:val="00356B7A"/>
    <w:rsid w:val="003707B8"/>
    <w:rsid w:val="00383ADD"/>
    <w:rsid w:val="003B3D6F"/>
    <w:rsid w:val="003B66B5"/>
    <w:rsid w:val="003C1554"/>
    <w:rsid w:val="003C2610"/>
    <w:rsid w:val="003C5659"/>
    <w:rsid w:val="003D41C5"/>
    <w:rsid w:val="003E267F"/>
    <w:rsid w:val="00406925"/>
    <w:rsid w:val="004143EA"/>
    <w:rsid w:val="0043125D"/>
    <w:rsid w:val="004556B5"/>
    <w:rsid w:val="004677CC"/>
    <w:rsid w:val="004870E4"/>
    <w:rsid w:val="00497F6A"/>
    <w:rsid w:val="004A34E0"/>
    <w:rsid w:val="004B2041"/>
    <w:rsid w:val="004D09D4"/>
    <w:rsid w:val="004E0DE3"/>
    <w:rsid w:val="004E1FAB"/>
    <w:rsid w:val="004E4A7C"/>
    <w:rsid w:val="005039E2"/>
    <w:rsid w:val="005109C1"/>
    <w:rsid w:val="00512941"/>
    <w:rsid w:val="00516335"/>
    <w:rsid w:val="0051673E"/>
    <w:rsid w:val="00526732"/>
    <w:rsid w:val="005342FC"/>
    <w:rsid w:val="00543C02"/>
    <w:rsid w:val="00543F89"/>
    <w:rsid w:val="005452CA"/>
    <w:rsid w:val="00555036"/>
    <w:rsid w:val="00572572"/>
    <w:rsid w:val="00580EAD"/>
    <w:rsid w:val="00582BCA"/>
    <w:rsid w:val="0059297E"/>
    <w:rsid w:val="00595E18"/>
    <w:rsid w:val="005A2D51"/>
    <w:rsid w:val="005B5287"/>
    <w:rsid w:val="005B5F01"/>
    <w:rsid w:val="005C6DE3"/>
    <w:rsid w:val="005E70DD"/>
    <w:rsid w:val="005F548E"/>
    <w:rsid w:val="00602306"/>
    <w:rsid w:val="006025FA"/>
    <w:rsid w:val="006043A6"/>
    <w:rsid w:val="006063F5"/>
    <w:rsid w:val="0061081C"/>
    <w:rsid w:val="006117FF"/>
    <w:rsid w:val="00611823"/>
    <w:rsid w:val="006165DF"/>
    <w:rsid w:val="00617E86"/>
    <w:rsid w:val="00635945"/>
    <w:rsid w:val="0064161D"/>
    <w:rsid w:val="00644B9E"/>
    <w:rsid w:val="00655F56"/>
    <w:rsid w:val="00667F1F"/>
    <w:rsid w:val="0067538B"/>
    <w:rsid w:val="00675634"/>
    <w:rsid w:val="00687179"/>
    <w:rsid w:val="006A5001"/>
    <w:rsid w:val="006B16C7"/>
    <w:rsid w:val="006B69CE"/>
    <w:rsid w:val="006D4393"/>
    <w:rsid w:val="006D503A"/>
    <w:rsid w:val="006E27AE"/>
    <w:rsid w:val="00702046"/>
    <w:rsid w:val="00706924"/>
    <w:rsid w:val="007137DD"/>
    <w:rsid w:val="00720908"/>
    <w:rsid w:val="00735824"/>
    <w:rsid w:val="00740199"/>
    <w:rsid w:val="007414C2"/>
    <w:rsid w:val="00743D4A"/>
    <w:rsid w:val="007507A1"/>
    <w:rsid w:val="007679A3"/>
    <w:rsid w:val="00767E89"/>
    <w:rsid w:val="007703A0"/>
    <w:rsid w:val="00775BDE"/>
    <w:rsid w:val="0077781B"/>
    <w:rsid w:val="00782971"/>
    <w:rsid w:val="007B6418"/>
    <w:rsid w:val="007C2970"/>
    <w:rsid w:val="007C3041"/>
    <w:rsid w:val="007D50E2"/>
    <w:rsid w:val="007E7D75"/>
    <w:rsid w:val="007F4CD3"/>
    <w:rsid w:val="007F4E44"/>
    <w:rsid w:val="007F657B"/>
    <w:rsid w:val="007F704B"/>
    <w:rsid w:val="00800DDA"/>
    <w:rsid w:val="00801B97"/>
    <w:rsid w:val="008055E2"/>
    <w:rsid w:val="00813C4A"/>
    <w:rsid w:val="008166A8"/>
    <w:rsid w:val="00841EAE"/>
    <w:rsid w:val="00850BAC"/>
    <w:rsid w:val="00853FDA"/>
    <w:rsid w:val="0085708C"/>
    <w:rsid w:val="008652E2"/>
    <w:rsid w:val="008743EF"/>
    <w:rsid w:val="00883802"/>
    <w:rsid w:val="00883DBD"/>
    <w:rsid w:val="00892963"/>
    <w:rsid w:val="00894A04"/>
    <w:rsid w:val="00894DA7"/>
    <w:rsid w:val="008A6611"/>
    <w:rsid w:val="008B39E5"/>
    <w:rsid w:val="008B3DC8"/>
    <w:rsid w:val="008B456F"/>
    <w:rsid w:val="008B57C3"/>
    <w:rsid w:val="008C1B32"/>
    <w:rsid w:val="008C74C6"/>
    <w:rsid w:val="008D1C6C"/>
    <w:rsid w:val="008D3810"/>
    <w:rsid w:val="008E47E0"/>
    <w:rsid w:val="008F0CCC"/>
    <w:rsid w:val="008F4733"/>
    <w:rsid w:val="008F7D9E"/>
    <w:rsid w:val="00902458"/>
    <w:rsid w:val="00902A44"/>
    <w:rsid w:val="00907621"/>
    <w:rsid w:val="00910283"/>
    <w:rsid w:val="0091630F"/>
    <w:rsid w:val="009215EF"/>
    <w:rsid w:val="00923EE6"/>
    <w:rsid w:val="00946BBE"/>
    <w:rsid w:val="00947A55"/>
    <w:rsid w:val="00947EE6"/>
    <w:rsid w:val="00955359"/>
    <w:rsid w:val="00962CC2"/>
    <w:rsid w:val="00966409"/>
    <w:rsid w:val="00977CCD"/>
    <w:rsid w:val="00990F52"/>
    <w:rsid w:val="00994136"/>
    <w:rsid w:val="00995AF1"/>
    <w:rsid w:val="00996BBD"/>
    <w:rsid w:val="009D5A10"/>
    <w:rsid w:val="009E3BFC"/>
    <w:rsid w:val="009E7D6C"/>
    <w:rsid w:val="009F273F"/>
    <w:rsid w:val="00A06AE6"/>
    <w:rsid w:val="00A108E4"/>
    <w:rsid w:val="00A129AC"/>
    <w:rsid w:val="00A2189C"/>
    <w:rsid w:val="00A23611"/>
    <w:rsid w:val="00A51EB7"/>
    <w:rsid w:val="00A52BB7"/>
    <w:rsid w:val="00A55E55"/>
    <w:rsid w:val="00A5625E"/>
    <w:rsid w:val="00A65771"/>
    <w:rsid w:val="00A73C1F"/>
    <w:rsid w:val="00A74AA7"/>
    <w:rsid w:val="00AB3879"/>
    <w:rsid w:val="00AC0645"/>
    <w:rsid w:val="00AD28F6"/>
    <w:rsid w:val="00AF1FDD"/>
    <w:rsid w:val="00B1172E"/>
    <w:rsid w:val="00B2461F"/>
    <w:rsid w:val="00B25197"/>
    <w:rsid w:val="00B33651"/>
    <w:rsid w:val="00B52649"/>
    <w:rsid w:val="00B52FA3"/>
    <w:rsid w:val="00B63E8E"/>
    <w:rsid w:val="00B82767"/>
    <w:rsid w:val="00B831DA"/>
    <w:rsid w:val="00B8342E"/>
    <w:rsid w:val="00B86E12"/>
    <w:rsid w:val="00B902B5"/>
    <w:rsid w:val="00BA4A3C"/>
    <w:rsid w:val="00BB1065"/>
    <w:rsid w:val="00BB6D52"/>
    <w:rsid w:val="00BD285C"/>
    <w:rsid w:val="00BF2B91"/>
    <w:rsid w:val="00BF6FD4"/>
    <w:rsid w:val="00C2248A"/>
    <w:rsid w:val="00C2748B"/>
    <w:rsid w:val="00C5432A"/>
    <w:rsid w:val="00C60015"/>
    <w:rsid w:val="00C62D84"/>
    <w:rsid w:val="00C640EA"/>
    <w:rsid w:val="00C657C0"/>
    <w:rsid w:val="00C65C8E"/>
    <w:rsid w:val="00C72833"/>
    <w:rsid w:val="00C72BF9"/>
    <w:rsid w:val="00C811D2"/>
    <w:rsid w:val="00C83FEB"/>
    <w:rsid w:val="00C8469D"/>
    <w:rsid w:val="00C919C3"/>
    <w:rsid w:val="00CA6244"/>
    <w:rsid w:val="00CC2404"/>
    <w:rsid w:val="00CC4509"/>
    <w:rsid w:val="00CC5D71"/>
    <w:rsid w:val="00CE2223"/>
    <w:rsid w:val="00CE48D0"/>
    <w:rsid w:val="00CF4EFA"/>
    <w:rsid w:val="00CF6C1A"/>
    <w:rsid w:val="00D14365"/>
    <w:rsid w:val="00D16B81"/>
    <w:rsid w:val="00D176AF"/>
    <w:rsid w:val="00D21732"/>
    <w:rsid w:val="00D24DEA"/>
    <w:rsid w:val="00D35FCD"/>
    <w:rsid w:val="00D54EAF"/>
    <w:rsid w:val="00D6523F"/>
    <w:rsid w:val="00DA0C6D"/>
    <w:rsid w:val="00DA69AD"/>
    <w:rsid w:val="00DD0D24"/>
    <w:rsid w:val="00DD325B"/>
    <w:rsid w:val="00DE5DEB"/>
    <w:rsid w:val="00E10861"/>
    <w:rsid w:val="00E14578"/>
    <w:rsid w:val="00E173D7"/>
    <w:rsid w:val="00E36830"/>
    <w:rsid w:val="00E36EAD"/>
    <w:rsid w:val="00E44F01"/>
    <w:rsid w:val="00E45165"/>
    <w:rsid w:val="00E47181"/>
    <w:rsid w:val="00E50ECD"/>
    <w:rsid w:val="00E55B33"/>
    <w:rsid w:val="00E7253E"/>
    <w:rsid w:val="00E749E4"/>
    <w:rsid w:val="00E840B8"/>
    <w:rsid w:val="00E87249"/>
    <w:rsid w:val="00E91D9F"/>
    <w:rsid w:val="00E93E1F"/>
    <w:rsid w:val="00E9641A"/>
    <w:rsid w:val="00EA0FE3"/>
    <w:rsid w:val="00EB5461"/>
    <w:rsid w:val="00EE1176"/>
    <w:rsid w:val="00EF3506"/>
    <w:rsid w:val="00EF7C91"/>
    <w:rsid w:val="00F019F7"/>
    <w:rsid w:val="00F02093"/>
    <w:rsid w:val="00F1672A"/>
    <w:rsid w:val="00F26A2A"/>
    <w:rsid w:val="00F3575C"/>
    <w:rsid w:val="00F3696E"/>
    <w:rsid w:val="00F36A52"/>
    <w:rsid w:val="00F37A1E"/>
    <w:rsid w:val="00F42CBF"/>
    <w:rsid w:val="00F70482"/>
    <w:rsid w:val="00F7180E"/>
    <w:rsid w:val="00F719DA"/>
    <w:rsid w:val="00F7644E"/>
    <w:rsid w:val="00F8687F"/>
    <w:rsid w:val="00F87741"/>
    <w:rsid w:val="00F936D2"/>
    <w:rsid w:val="00FA0A2A"/>
    <w:rsid w:val="00FA0D20"/>
    <w:rsid w:val="00FA21BE"/>
    <w:rsid w:val="00FA5DC0"/>
    <w:rsid w:val="00FB051A"/>
    <w:rsid w:val="00FB2DD5"/>
    <w:rsid w:val="00FB3FA9"/>
    <w:rsid w:val="00FC1B6E"/>
    <w:rsid w:val="00FD1E87"/>
    <w:rsid w:val="00FD6236"/>
    <w:rsid w:val="00FE0065"/>
    <w:rsid w:val="00FE540E"/>
    <w:rsid w:val="00FF2296"/>
    <w:rsid w:val="00FF3B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A25932-AC1B-4BDC-9E5F-FF608C2C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8189B"/>
    <w:pPr>
      <w:spacing w:after="0" w:line="240" w:lineRule="auto"/>
    </w:pPr>
    <w:rPr>
      <w:rFonts w:ascii="Arial" w:hAnsi="Arial"/>
      <w:color w:val="000000" w:themeColor="text1"/>
      <w:sz w:val="24"/>
      <w:szCs w:val="24"/>
    </w:rPr>
  </w:style>
  <w:style w:type="paragraph" w:styleId="Heading1">
    <w:name w:val="heading 1"/>
    <w:basedOn w:val="Normal"/>
    <w:next w:val="Normal"/>
    <w:link w:val="Heading1Char"/>
    <w:uiPriority w:val="9"/>
    <w:qFormat/>
    <w:rsid w:val="0018189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basedOn w:val="Normal"/>
    <w:link w:val="BodyChar"/>
    <w:qFormat/>
    <w:rsid w:val="0018189B"/>
  </w:style>
  <w:style w:type="character" w:customStyle="1" w:styleId="BodyChar">
    <w:name w:val="_Body Char"/>
    <w:basedOn w:val="DefaultParagraphFont"/>
    <w:link w:val="Body"/>
    <w:rsid w:val="0018189B"/>
    <w:rPr>
      <w:rFonts w:ascii="Arial" w:hAnsi="Arial"/>
      <w:color w:val="000000" w:themeColor="text1"/>
      <w:sz w:val="24"/>
      <w:szCs w:val="24"/>
    </w:rPr>
  </w:style>
  <w:style w:type="paragraph" w:customStyle="1" w:styleId="Heading10">
    <w:name w:val="_Heading1"/>
    <w:basedOn w:val="Heading1"/>
    <w:next w:val="Body"/>
    <w:uiPriority w:val="1"/>
    <w:qFormat/>
    <w:rsid w:val="000749C8"/>
    <w:pPr>
      <w:spacing w:before="360" w:after="120"/>
    </w:pPr>
    <w:rPr>
      <w:rFonts w:ascii="Arial" w:hAnsi="Arial"/>
      <w:b/>
      <w:color w:val="000000" w:themeColor="text1"/>
      <w:sz w:val="26"/>
    </w:rPr>
  </w:style>
  <w:style w:type="character" w:customStyle="1" w:styleId="Heading1Char">
    <w:name w:val="Heading 1 Char"/>
    <w:basedOn w:val="DefaultParagraphFont"/>
    <w:link w:val="Heading1"/>
    <w:uiPriority w:val="9"/>
    <w:rsid w:val="0018189B"/>
    <w:rPr>
      <w:rFonts w:asciiTheme="majorHAnsi" w:eastAsiaTheme="majorEastAsia" w:hAnsiTheme="majorHAnsi" w:cstheme="majorBidi"/>
      <w:color w:val="2E74B5" w:themeColor="accent1" w:themeShade="BF"/>
      <w:sz w:val="32"/>
      <w:szCs w:val="32"/>
    </w:rPr>
  </w:style>
  <w:style w:type="paragraph" w:customStyle="1" w:styleId="Heading2">
    <w:name w:val="_Heading2"/>
    <w:basedOn w:val="Heading10"/>
    <w:next w:val="Body"/>
    <w:uiPriority w:val="1"/>
    <w:qFormat/>
    <w:rsid w:val="0018189B"/>
    <w:rPr>
      <w:sz w:val="24"/>
    </w:rPr>
  </w:style>
  <w:style w:type="paragraph" w:customStyle="1" w:styleId="RecommendationL2">
    <w:name w:val="_Recommendation L2"/>
    <w:basedOn w:val="Normal"/>
    <w:qFormat/>
    <w:rsid w:val="0018189B"/>
    <w:pPr>
      <w:ind w:left="720"/>
    </w:pPr>
  </w:style>
  <w:style w:type="paragraph" w:customStyle="1" w:styleId="RecommendationL3">
    <w:name w:val="_Recommendation L3"/>
    <w:basedOn w:val="RecommendationL2"/>
    <w:qFormat/>
    <w:rsid w:val="0018189B"/>
    <w:pPr>
      <w:ind w:left="1440"/>
    </w:pPr>
  </w:style>
  <w:style w:type="paragraph" w:customStyle="1" w:styleId="Section">
    <w:name w:val="_Section"/>
    <w:basedOn w:val="Body"/>
    <w:uiPriority w:val="2"/>
    <w:qFormat/>
    <w:rsid w:val="000749C8"/>
    <w:pPr>
      <w:pBdr>
        <w:bottom w:val="single" w:sz="4" w:space="1" w:color="auto"/>
      </w:pBdr>
      <w:spacing w:before="360" w:after="120"/>
    </w:pPr>
    <w:rPr>
      <w:b/>
      <w:caps/>
      <w:sz w:val="26"/>
    </w:rPr>
  </w:style>
  <w:style w:type="paragraph" w:customStyle="1" w:styleId="Title">
    <w:name w:val="_Title"/>
    <w:basedOn w:val="Normal"/>
    <w:link w:val="TitleChar"/>
    <w:qFormat/>
    <w:rsid w:val="0018189B"/>
    <w:pPr>
      <w:spacing w:before="120" w:after="240"/>
    </w:pPr>
    <w:rPr>
      <w:rFonts w:cs="Arial"/>
      <w:b/>
      <w:sz w:val="36"/>
    </w:rPr>
  </w:style>
  <w:style w:type="character" w:customStyle="1" w:styleId="TitleChar">
    <w:name w:val="_Title Char"/>
    <w:basedOn w:val="DefaultParagraphFont"/>
    <w:link w:val="Title"/>
    <w:rsid w:val="0018189B"/>
    <w:rPr>
      <w:rFonts w:ascii="Arial" w:hAnsi="Arial" w:cs="Arial"/>
      <w:b/>
      <w:color w:val="000000" w:themeColor="text1"/>
      <w:sz w:val="36"/>
      <w:szCs w:val="24"/>
    </w:rPr>
  </w:style>
  <w:style w:type="paragraph" w:styleId="Caption">
    <w:name w:val="caption"/>
    <w:aliases w:val="_Caption"/>
    <w:basedOn w:val="Normal"/>
    <w:next w:val="Normal"/>
    <w:uiPriority w:val="1"/>
    <w:qFormat/>
    <w:rsid w:val="00F1672A"/>
    <w:pPr>
      <w:spacing w:after="120"/>
    </w:pPr>
    <w:rPr>
      <w:iCs/>
      <w:szCs w:val="18"/>
    </w:rPr>
  </w:style>
  <w:style w:type="character" w:styleId="Emphasis">
    <w:name w:val="Emphasis"/>
    <w:basedOn w:val="DefaultParagraphFont"/>
    <w:qFormat/>
    <w:rsid w:val="0018189B"/>
    <w:rPr>
      <w:i/>
      <w:iCs/>
    </w:rPr>
  </w:style>
  <w:style w:type="paragraph" w:styleId="Footer">
    <w:name w:val="footer"/>
    <w:aliases w:val="_Footer"/>
    <w:basedOn w:val="Body"/>
    <w:link w:val="FooterChar"/>
    <w:uiPriority w:val="99"/>
    <w:qFormat/>
    <w:rsid w:val="0018189B"/>
    <w:pPr>
      <w:tabs>
        <w:tab w:val="center" w:pos="4680"/>
        <w:tab w:val="right" w:pos="9360"/>
      </w:tabs>
    </w:pPr>
    <w:rPr>
      <w:sz w:val="20"/>
    </w:rPr>
  </w:style>
  <w:style w:type="character" w:customStyle="1" w:styleId="FooterChar">
    <w:name w:val="Footer Char"/>
    <w:aliases w:val="_Footer Char"/>
    <w:basedOn w:val="DefaultParagraphFont"/>
    <w:link w:val="Footer"/>
    <w:uiPriority w:val="99"/>
    <w:rsid w:val="0018189B"/>
    <w:rPr>
      <w:rFonts w:ascii="Arial" w:hAnsi="Arial"/>
      <w:color w:val="000000" w:themeColor="text1"/>
      <w:sz w:val="20"/>
      <w:szCs w:val="24"/>
    </w:rPr>
  </w:style>
  <w:style w:type="character" w:styleId="Hyperlink">
    <w:name w:val="Hyperlink"/>
    <w:aliases w:val="_Hyperlink"/>
    <w:basedOn w:val="DefaultParagraphFont"/>
    <w:uiPriority w:val="99"/>
    <w:qFormat/>
    <w:rsid w:val="0018189B"/>
    <w:rPr>
      <w:rFonts w:ascii="Arial" w:hAnsi="Arial"/>
      <w:caps w:val="0"/>
      <w:smallCaps w:val="0"/>
      <w:strike w:val="0"/>
      <w:dstrike w:val="0"/>
      <w:vanish w:val="0"/>
      <w:color w:val="0563C1" w:themeColor="hyperlink"/>
      <w:sz w:val="24"/>
      <w:u w:val="single"/>
      <w:vertAlign w:val="baseline"/>
    </w:rPr>
  </w:style>
  <w:style w:type="paragraph" w:styleId="ListBullet">
    <w:name w:val="List Bullet"/>
    <w:basedOn w:val="Normal"/>
    <w:next w:val="Body"/>
    <w:link w:val="ListBulletChar"/>
    <w:uiPriority w:val="1"/>
    <w:qFormat/>
    <w:rsid w:val="000749C8"/>
    <w:pPr>
      <w:numPr>
        <w:numId w:val="2"/>
      </w:numPr>
      <w:spacing w:after="120"/>
    </w:pPr>
  </w:style>
  <w:style w:type="character" w:customStyle="1" w:styleId="ListBulletChar">
    <w:name w:val="List Bullet Char"/>
    <w:basedOn w:val="DefaultParagraphFont"/>
    <w:link w:val="ListBullet"/>
    <w:uiPriority w:val="1"/>
    <w:rsid w:val="000749C8"/>
    <w:rPr>
      <w:rFonts w:ascii="Arial" w:hAnsi="Arial"/>
      <w:color w:val="000000" w:themeColor="text1"/>
      <w:sz w:val="24"/>
      <w:szCs w:val="24"/>
    </w:rPr>
  </w:style>
  <w:style w:type="paragraph" w:styleId="ListBullet2">
    <w:name w:val="List Bullet 2"/>
    <w:basedOn w:val="ListBullet"/>
    <w:next w:val="Body"/>
    <w:link w:val="ListBullet2Char"/>
    <w:uiPriority w:val="1"/>
    <w:qFormat/>
    <w:rsid w:val="0018189B"/>
    <w:pPr>
      <w:numPr>
        <w:numId w:val="4"/>
      </w:numPr>
    </w:pPr>
  </w:style>
  <w:style w:type="character" w:customStyle="1" w:styleId="ListBullet2Char">
    <w:name w:val="List Bullet 2 Char"/>
    <w:basedOn w:val="ListBulletChar"/>
    <w:link w:val="ListBullet2"/>
    <w:uiPriority w:val="1"/>
    <w:rsid w:val="0018189B"/>
    <w:rPr>
      <w:rFonts w:ascii="Arial" w:hAnsi="Arial"/>
      <w:color w:val="000000" w:themeColor="text1"/>
      <w:sz w:val="24"/>
      <w:szCs w:val="24"/>
    </w:rPr>
  </w:style>
  <w:style w:type="character" w:styleId="Strong">
    <w:name w:val="Strong"/>
    <w:basedOn w:val="BodyChar"/>
    <w:qFormat/>
    <w:rsid w:val="0018189B"/>
    <w:rPr>
      <w:rFonts w:ascii="Arial" w:hAnsi="Arial"/>
      <w:b/>
      <w:bCs/>
      <w:color w:val="000000" w:themeColor="text1"/>
      <w:sz w:val="24"/>
      <w:szCs w:val="24"/>
    </w:rPr>
  </w:style>
  <w:style w:type="table" w:styleId="TableGrid">
    <w:name w:val="Table Grid"/>
    <w:basedOn w:val="TableNormal"/>
    <w:uiPriority w:val="39"/>
    <w:rsid w:val="0018189B"/>
    <w:pPr>
      <w:spacing w:after="0" w:line="240" w:lineRule="auto"/>
    </w:pPr>
    <w:rPr>
      <w:rFonts w:ascii="Arial" w:hAnsi="Arial"/>
      <w:color w:val="000000" w:themeColor="text1"/>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5" w:type="dxa"/>
        <w:left w:w="115" w:type="dxa"/>
        <w:bottom w:w="115" w:type="dxa"/>
        <w:right w:w="115" w:type="dxa"/>
      </w:tblCellMar>
    </w:tblPr>
    <w:trPr>
      <w:cantSplit/>
    </w:trPr>
    <w:tcPr>
      <w:vAlign w:val="center"/>
    </w:tcPr>
    <w:tblStylePr w:type="firstRow">
      <w:rPr>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rPr>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table" w:customStyle="1" w:styleId="TableGridHRFC">
    <w:name w:val="Table Grid HR FC"/>
    <w:basedOn w:val="TableGrid"/>
    <w:uiPriority w:val="99"/>
    <w:rsid w:val="0018189B"/>
    <w:pPr>
      <w:jc w:val="right"/>
    </w:pPr>
    <w:tblPr/>
    <w:tblStylePr w:type="firstRow">
      <w:pPr>
        <w:jc w:val="center"/>
      </w:pPr>
      <w:rPr>
        <w:rFonts w:ascii="Arial" w:hAnsi="Arial"/>
        <w:b w:val="0"/>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paragraph" w:styleId="NoSpacing">
    <w:name w:val="No Spacing"/>
    <w:uiPriority w:val="1"/>
    <w:qFormat/>
    <w:rsid w:val="002F448F"/>
    <w:pPr>
      <w:spacing w:after="0" w:line="240" w:lineRule="auto"/>
    </w:pPr>
    <w:rPr>
      <w:rFonts w:ascii="Arial" w:hAnsi="Arial"/>
      <w:color w:val="000000" w:themeColor="text1"/>
      <w:sz w:val="24"/>
      <w:szCs w:val="24"/>
    </w:rPr>
  </w:style>
  <w:style w:type="paragraph" w:styleId="Header">
    <w:name w:val="header"/>
    <w:basedOn w:val="Normal"/>
    <w:link w:val="HeaderChar"/>
    <w:uiPriority w:val="99"/>
    <w:unhideWhenUsed/>
    <w:rsid w:val="00043CA2"/>
    <w:pPr>
      <w:tabs>
        <w:tab w:val="center" w:pos="4680"/>
        <w:tab w:val="right" w:pos="9360"/>
      </w:tabs>
    </w:pPr>
  </w:style>
  <w:style w:type="character" w:customStyle="1" w:styleId="HeaderChar">
    <w:name w:val="Header Char"/>
    <w:basedOn w:val="DefaultParagraphFont"/>
    <w:link w:val="Header"/>
    <w:uiPriority w:val="99"/>
    <w:rsid w:val="00043CA2"/>
    <w:rPr>
      <w:rFonts w:ascii="Arial" w:hAnsi="Arial"/>
      <w:color w:val="000000" w:themeColor="text1"/>
      <w:sz w:val="24"/>
      <w:szCs w:val="24"/>
    </w:rPr>
  </w:style>
  <w:style w:type="paragraph" w:styleId="NormalWeb">
    <w:name w:val="Normal (Web)"/>
    <w:basedOn w:val="Normal"/>
    <w:uiPriority w:val="99"/>
    <w:semiHidden/>
    <w:unhideWhenUsed/>
    <w:rsid w:val="00A5625E"/>
    <w:pPr>
      <w:spacing w:before="100" w:beforeAutospacing="1" w:after="100" w:afterAutospacing="1"/>
    </w:pPr>
    <w:rPr>
      <w:rFonts w:ascii="Times New Roman" w:eastAsia="Times New Roman" w:hAnsi="Times New Roman" w:cs="Times New Roman"/>
      <w:color w:val="auto"/>
      <w:lang w:eastAsia="en-CA"/>
    </w:rPr>
  </w:style>
  <w:style w:type="paragraph" w:customStyle="1" w:styleId="04BodyText">
    <w:name w:val="04_Body Text"/>
    <w:basedOn w:val="Normal"/>
    <w:rsid w:val="00923EE6"/>
    <w:pPr>
      <w:tabs>
        <w:tab w:val="left" w:pos="1080"/>
      </w:tabs>
    </w:pPr>
    <w:rPr>
      <w:rFonts w:ascii="Times New Roman" w:eastAsia="Times" w:hAnsi="Times New Roman" w:cs="Times New Roman"/>
      <w:color w:val="auto"/>
    </w:rPr>
  </w:style>
  <w:style w:type="paragraph" w:styleId="ListParagraph">
    <w:name w:val="List Paragraph"/>
    <w:basedOn w:val="Normal"/>
    <w:uiPriority w:val="34"/>
    <w:qFormat/>
    <w:rsid w:val="00923EE6"/>
    <w:pPr>
      <w:widowControl w:val="0"/>
      <w:ind w:left="720"/>
    </w:pPr>
    <w:rPr>
      <w:rFonts w:ascii="Times New Roman" w:eastAsia="Times New Roman" w:hAnsi="Times New Roman" w:cs="Times New Roman"/>
      <w:snapToGrid w:val="0"/>
      <w:color w:val="auto"/>
      <w:szCs w:val="20"/>
      <w:lang w:val="en-US"/>
    </w:rPr>
  </w:style>
  <w:style w:type="character" w:styleId="CommentReference">
    <w:name w:val="annotation reference"/>
    <w:basedOn w:val="DefaultParagraphFont"/>
    <w:uiPriority w:val="99"/>
    <w:semiHidden/>
    <w:unhideWhenUsed/>
    <w:rsid w:val="00923EE6"/>
    <w:rPr>
      <w:sz w:val="16"/>
      <w:szCs w:val="16"/>
    </w:rPr>
  </w:style>
  <w:style w:type="paragraph" w:styleId="CommentText">
    <w:name w:val="annotation text"/>
    <w:basedOn w:val="Normal"/>
    <w:link w:val="CommentTextChar"/>
    <w:uiPriority w:val="99"/>
    <w:semiHidden/>
    <w:unhideWhenUsed/>
    <w:rsid w:val="00923EE6"/>
    <w:rPr>
      <w:rFonts w:ascii="Cambria" w:eastAsia="Cambria" w:hAnsi="Cambria" w:cs="Times New Roman"/>
      <w:color w:val="auto"/>
      <w:sz w:val="20"/>
      <w:szCs w:val="20"/>
    </w:rPr>
  </w:style>
  <w:style w:type="character" w:customStyle="1" w:styleId="CommentTextChar">
    <w:name w:val="Comment Text Char"/>
    <w:basedOn w:val="DefaultParagraphFont"/>
    <w:link w:val="CommentText"/>
    <w:uiPriority w:val="99"/>
    <w:semiHidden/>
    <w:rsid w:val="00923EE6"/>
    <w:rPr>
      <w:rFonts w:ascii="Cambria" w:eastAsia="Cambria" w:hAnsi="Cambria" w:cs="Times New Roman"/>
      <w:sz w:val="20"/>
      <w:szCs w:val="20"/>
    </w:rPr>
  </w:style>
  <w:style w:type="paragraph" w:styleId="BalloonText">
    <w:name w:val="Balloon Text"/>
    <w:basedOn w:val="Normal"/>
    <w:link w:val="BalloonTextChar"/>
    <w:uiPriority w:val="99"/>
    <w:semiHidden/>
    <w:unhideWhenUsed/>
    <w:rsid w:val="00923EE6"/>
    <w:rPr>
      <w:rFonts w:ascii="Tahoma" w:hAnsi="Tahoma" w:cs="Tahoma"/>
      <w:sz w:val="16"/>
      <w:szCs w:val="16"/>
    </w:rPr>
  </w:style>
  <w:style w:type="character" w:customStyle="1" w:styleId="BalloonTextChar">
    <w:name w:val="Balloon Text Char"/>
    <w:basedOn w:val="DefaultParagraphFont"/>
    <w:link w:val="BalloonText"/>
    <w:uiPriority w:val="99"/>
    <w:semiHidden/>
    <w:rsid w:val="00923EE6"/>
    <w:rPr>
      <w:rFonts w:ascii="Tahoma" w:hAnsi="Tahoma" w:cs="Tahoma"/>
      <w:color w:val="000000" w:themeColor="text1"/>
      <w:sz w:val="16"/>
      <w:szCs w:val="16"/>
    </w:rPr>
  </w:style>
  <w:style w:type="character" w:styleId="FollowedHyperlink">
    <w:name w:val="FollowedHyperlink"/>
    <w:basedOn w:val="DefaultParagraphFont"/>
    <w:uiPriority w:val="99"/>
    <w:semiHidden/>
    <w:unhideWhenUsed/>
    <w:rsid w:val="00250271"/>
    <w:rPr>
      <w:color w:val="954F72" w:themeColor="followedHyperlink"/>
      <w:u w:val="single"/>
    </w:rPr>
  </w:style>
  <w:style w:type="paragraph" w:styleId="TableofFigures">
    <w:name w:val="table of figures"/>
    <w:basedOn w:val="Normal"/>
    <w:next w:val="Normal"/>
    <w:uiPriority w:val="99"/>
    <w:unhideWhenUsed/>
    <w:rsid w:val="00F93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326673">
      <w:bodyDiv w:val="1"/>
      <w:marLeft w:val="0"/>
      <w:marRight w:val="0"/>
      <w:marTop w:val="0"/>
      <w:marBottom w:val="0"/>
      <w:divBdr>
        <w:top w:val="none" w:sz="0" w:space="0" w:color="auto"/>
        <w:left w:val="none" w:sz="0" w:space="0" w:color="auto"/>
        <w:bottom w:val="none" w:sz="0" w:space="0" w:color="auto"/>
        <w:right w:val="none" w:sz="0" w:space="0" w:color="auto"/>
      </w:divBdr>
    </w:div>
    <w:div w:id="447549832">
      <w:bodyDiv w:val="1"/>
      <w:marLeft w:val="0"/>
      <w:marRight w:val="0"/>
      <w:marTop w:val="0"/>
      <w:marBottom w:val="0"/>
      <w:divBdr>
        <w:top w:val="none" w:sz="0" w:space="0" w:color="auto"/>
        <w:left w:val="none" w:sz="0" w:space="0" w:color="auto"/>
        <w:bottom w:val="none" w:sz="0" w:space="0" w:color="auto"/>
        <w:right w:val="none" w:sz="0" w:space="0" w:color="auto"/>
      </w:divBdr>
    </w:div>
    <w:div w:id="616835734">
      <w:bodyDiv w:val="1"/>
      <w:marLeft w:val="0"/>
      <w:marRight w:val="0"/>
      <w:marTop w:val="0"/>
      <w:marBottom w:val="0"/>
      <w:divBdr>
        <w:top w:val="none" w:sz="0" w:space="0" w:color="auto"/>
        <w:left w:val="none" w:sz="0" w:space="0" w:color="auto"/>
        <w:bottom w:val="none" w:sz="0" w:space="0" w:color="auto"/>
        <w:right w:val="none" w:sz="0" w:space="0" w:color="auto"/>
      </w:divBdr>
    </w:div>
    <w:div w:id="718821778">
      <w:bodyDiv w:val="1"/>
      <w:marLeft w:val="0"/>
      <w:marRight w:val="0"/>
      <w:marTop w:val="0"/>
      <w:marBottom w:val="0"/>
      <w:divBdr>
        <w:top w:val="none" w:sz="0" w:space="0" w:color="auto"/>
        <w:left w:val="none" w:sz="0" w:space="0" w:color="auto"/>
        <w:bottom w:val="none" w:sz="0" w:space="0" w:color="auto"/>
        <w:right w:val="none" w:sz="0" w:space="0" w:color="auto"/>
      </w:divBdr>
    </w:div>
    <w:div w:id="799885082">
      <w:bodyDiv w:val="1"/>
      <w:marLeft w:val="0"/>
      <w:marRight w:val="0"/>
      <w:marTop w:val="0"/>
      <w:marBottom w:val="0"/>
      <w:divBdr>
        <w:top w:val="none" w:sz="0" w:space="0" w:color="auto"/>
        <w:left w:val="none" w:sz="0" w:space="0" w:color="auto"/>
        <w:bottom w:val="none" w:sz="0" w:space="0" w:color="auto"/>
        <w:right w:val="none" w:sz="0" w:space="0" w:color="auto"/>
      </w:divBdr>
    </w:div>
    <w:div w:id="889268810">
      <w:bodyDiv w:val="1"/>
      <w:marLeft w:val="0"/>
      <w:marRight w:val="0"/>
      <w:marTop w:val="0"/>
      <w:marBottom w:val="0"/>
      <w:divBdr>
        <w:top w:val="none" w:sz="0" w:space="0" w:color="auto"/>
        <w:left w:val="none" w:sz="0" w:space="0" w:color="auto"/>
        <w:bottom w:val="none" w:sz="0" w:space="0" w:color="auto"/>
        <w:right w:val="none" w:sz="0" w:space="0" w:color="auto"/>
      </w:divBdr>
    </w:div>
    <w:div w:id="984316636">
      <w:bodyDiv w:val="1"/>
      <w:marLeft w:val="0"/>
      <w:marRight w:val="0"/>
      <w:marTop w:val="0"/>
      <w:marBottom w:val="0"/>
      <w:divBdr>
        <w:top w:val="none" w:sz="0" w:space="0" w:color="auto"/>
        <w:left w:val="none" w:sz="0" w:space="0" w:color="auto"/>
        <w:bottom w:val="none" w:sz="0" w:space="0" w:color="auto"/>
        <w:right w:val="none" w:sz="0" w:space="0" w:color="auto"/>
      </w:divBdr>
    </w:div>
    <w:div w:id="986401723">
      <w:bodyDiv w:val="1"/>
      <w:marLeft w:val="0"/>
      <w:marRight w:val="0"/>
      <w:marTop w:val="0"/>
      <w:marBottom w:val="0"/>
      <w:divBdr>
        <w:top w:val="none" w:sz="0" w:space="0" w:color="auto"/>
        <w:left w:val="none" w:sz="0" w:space="0" w:color="auto"/>
        <w:bottom w:val="none" w:sz="0" w:space="0" w:color="auto"/>
        <w:right w:val="none" w:sz="0" w:space="0" w:color="auto"/>
      </w:divBdr>
    </w:div>
    <w:div w:id="1001812115">
      <w:bodyDiv w:val="1"/>
      <w:marLeft w:val="0"/>
      <w:marRight w:val="0"/>
      <w:marTop w:val="0"/>
      <w:marBottom w:val="0"/>
      <w:divBdr>
        <w:top w:val="none" w:sz="0" w:space="0" w:color="auto"/>
        <w:left w:val="none" w:sz="0" w:space="0" w:color="auto"/>
        <w:bottom w:val="none" w:sz="0" w:space="0" w:color="auto"/>
        <w:right w:val="none" w:sz="0" w:space="0" w:color="auto"/>
      </w:divBdr>
    </w:div>
    <w:div w:id="1104575717">
      <w:bodyDiv w:val="1"/>
      <w:marLeft w:val="0"/>
      <w:marRight w:val="0"/>
      <w:marTop w:val="0"/>
      <w:marBottom w:val="0"/>
      <w:divBdr>
        <w:top w:val="none" w:sz="0" w:space="0" w:color="auto"/>
        <w:left w:val="none" w:sz="0" w:space="0" w:color="auto"/>
        <w:bottom w:val="none" w:sz="0" w:space="0" w:color="auto"/>
        <w:right w:val="none" w:sz="0" w:space="0" w:color="auto"/>
      </w:divBdr>
    </w:div>
    <w:div w:id="1125809959">
      <w:bodyDiv w:val="1"/>
      <w:marLeft w:val="0"/>
      <w:marRight w:val="0"/>
      <w:marTop w:val="0"/>
      <w:marBottom w:val="0"/>
      <w:divBdr>
        <w:top w:val="none" w:sz="0" w:space="0" w:color="auto"/>
        <w:left w:val="none" w:sz="0" w:space="0" w:color="auto"/>
        <w:bottom w:val="none" w:sz="0" w:space="0" w:color="auto"/>
        <w:right w:val="none" w:sz="0" w:space="0" w:color="auto"/>
      </w:divBdr>
    </w:div>
    <w:div w:id="1154569889">
      <w:bodyDiv w:val="1"/>
      <w:marLeft w:val="0"/>
      <w:marRight w:val="0"/>
      <w:marTop w:val="0"/>
      <w:marBottom w:val="0"/>
      <w:divBdr>
        <w:top w:val="none" w:sz="0" w:space="0" w:color="auto"/>
        <w:left w:val="none" w:sz="0" w:space="0" w:color="auto"/>
        <w:bottom w:val="none" w:sz="0" w:space="0" w:color="auto"/>
        <w:right w:val="none" w:sz="0" w:space="0" w:color="auto"/>
      </w:divBdr>
    </w:div>
    <w:div w:id="1213342726">
      <w:bodyDiv w:val="1"/>
      <w:marLeft w:val="0"/>
      <w:marRight w:val="0"/>
      <w:marTop w:val="0"/>
      <w:marBottom w:val="0"/>
      <w:divBdr>
        <w:top w:val="none" w:sz="0" w:space="0" w:color="auto"/>
        <w:left w:val="none" w:sz="0" w:space="0" w:color="auto"/>
        <w:bottom w:val="none" w:sz="0" w:space="0" w:color="auto"/>
        <w:right w:val="none" w:sz="0" w:space="0" w:color="auto"/>
      </w:divBdr>
    </w:div>
    <w:div w:id="1406491467">
      <w:bodyDiv w:val="1"/>
      <w:marLeft w:val="0"/>
      <w:marRight w:val="0"/>
      <w:marTop w:val="0"/>
      <w:marBottom w:val="0"/>
      <w:divBdr>
        <w:top w:val="none" w:sz="0" w:space="0" w:color="auto"/>
        <w:left w:val="none" w:sz="0" w:space="0" w:color="auto"/>
        <w:bottom w:val="none" w:sz="0" w:space="0" w:color="auto"/>
        <w:right w:val="none" w:sz="0" w:space="0" w:color="auto"/>
      </w:divBdr>
    </w:div>
    <w:div w:id="1463576462">
      <w:bodyDiv w:val="1"/>
      <w:marLeft w:val="0"/>
      <w:marRight w:val="0"/>
      <w:marTop w:val="0"/>
      <w:marBottom w:val="0"/>
      <w:divBdr>
        <w:top w:val="none" w:sz="0" w:space="0" w:color="auto"/>
        <w:left w:val="none" w:sz="0" w:space="0" w:color="auto"/>
        <w:bottom w:val="none" w:sz="0" w:space="0" w:color="auto"/>
        <w:right w:val="none" w:sz="0" w:space="0" w:color="auto"/>
      </w:divBdr>
    </w:div>
    <w:div w:id="1684892221">
      <w:bodyDiv w:val="1"/>
      <w:marLeft w:val="0"/>
      <w:marRight w:val="0"/>
      <w:marTop w:val="0"/>
      <w:marBottom w:val="0"/>
      <w:divBdr>
        <w:top w:val="none" w:sz="0" w:space="0" w:color="auto"/>
        <w:left w:val="none" w:sz="0" w:space="0" w:color="auto"/>
        <w:bottom w:val="none" w:sz="0" w:space="0" w:color="auto"/>
        <w:right w:val="none" w:sz="0" w:space="0" w:color="auto"/>
      </w:divBdr>
    </w:div>
    <w:div w:id="1733506192">
      <w:bodyDiv w:val="1"/>
      <w:marLeft w:val="0"/>
      <w:marRight w:val="0"/>
      <w:marTop w:val="0"/>
      <w:marBottom w:val="0"/>
      <w:divBdr>
        <w:top w:val="none" w:sz="0" w:space="0" w:color="auto"/>
        <w:left w:val="none" w:sz="0" w:space="0" w:color="auto"/>
        <w:bottom w:val="none" w:sz="0" w:space="0" w:color="auto"/>
        <w:right w:val="none" w:sz="0" w:space="0" w:color="auto"/>
      </w:divBdr>
    </w:div>
    <w:div w:id="1964532447">
      <w:bodyDiv w:val="1"/>
      <w:marLeft w:val="0"/>
      <w:marRight w:val="0"/>
      <w:marTop w:val="0"/>
      <w:marBottom w:val="0"/>
      <w:divBdr>
        <w:top w:val="none" w:sz="0" w:space="0" w:color="auto"/>
        <w:left w:val="none" w:sz="0" w:space="0" w:color="auto"/>
        <w:bottom w:val="none" w:sz="0" w:space="0" w:color="auto"/>
        <w:right w:val="none" w:sz="0" w:space="0" w:color="auto"/>
      </w:divBdr>
    </w:div>
    <w:div w:id="1964799526">
      <w:bodyDiv w:val="1"/>
      <w:marLeft w:val="0"/>
      <w:marRight w:val="0"/>
      <w:marTop w:val="0"/>
      <w:marBottom w:val="0"/>
      <w:divBdr>
        <w:top w:val="none" w:sz="0" w:space="0" w:color="auto"/>
        <w:left w:val="none" w:sz="0" w:space="0" w:color="auto"/>
        <w:bottom w:val="none" w:sz="0" w:space="0" w:color="auto"/>
        <w:right w:val="none" w:sz="0" w:space="0" w:color="auto"/>
      </w:divBdr>
    </w:div>
    <w:div w:id="2008244962">
      <w:bodyDiv w:val="1"/>
      <w:marLeft w:val="0"/>
      <w:marRight w:val="0"/>
      <w:marTop w:val="0"/>
      <w:marBottom w:val="0"/>
      <w:divBdr>
        <w:top w:val="none" w:sz="0" w:space="0" w:color="auto"/>
        <w:left w:val="none" w:sz="0" w:space="0" w:color="auto"/>
        <w:bottom w:val="none" w:sz="0" w:space="0" w:color="auto"/>
        <w:right w:val="none" w:sz="0" w:space="0" w:color="auto"/>
      </w:divBdr>
    </w:div>
    <w:div w:id="207566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2.statcan.gc.ca/census-recensement/2016/ref/dict/index-eng.cfm" TargetMode="External"/><Relationship Id="rId13" Type="http://schemas.openxmlformats.org/officeDocument/2006/relationships/hyperlink" Target="https://www12.statcan.gc.ca/census-recensement/index-eng.cfm"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1.toronto.ca/wps/portal/contentonly?vgnextoid=ae17962c8c3f0410VgnVCM10000071d60f89RCRD&amp;vgnextchannel=cf8a42f18beb2410VgnVCM10000071d60f89RCRD"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2.statcan.gc.ca/census-recensement/2016/ref/dict/tab/t4_2-eng.cf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2.xml"/><Relationship Id="rId28" Type="http://schemas.openxmlformats.org/officeDocument/2006/relationships/image" Target="media/image11.png"/><Relationship Id="rId10" Type="http://schemas.openxmlformats.org/officeDocument/2006/relationships/hyperlink" Target="http://www1.toronto.ca/wps/portal/contentonly?vgnextoid=03eda07443f36410VgnVCM10000071d60f89RCRD"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12.statcan.gc.ca/census-recensement/2016/ref/dict/index-eng.cfm" TargetMode="External"/><Relationship Id="rId14" Type="http://schemas.openxmlformats.org/officeDocument/2006/relationships/hyperlink" Target="mailto:bruce.hawkins@toronto.ca" TargetMode="External"/><Relationship Id="rId22" Type="http://schemas.openxmlformats.org/officeDocument/2006/relationships/header" Target="header1.xm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0A11E-AB92-4F1B-BCDA-F818C0EE9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2376</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15893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 Priston</dc:creator>
  <cp:keywords/>
  <dc:description/>
  <cp:lastModifiedBy>Caroline Cregan</cp:lastModifiedBy>
  <cp:revision>2</cp:revision>
  <cp:lastPrinted>2017-09-14T16:51:00Z</cp:lastPrinted>
  <dcterms:created xsi:type="dcterms:W3CDTF">2017-10-23T15:03:00Z</dcterms:created>
  <dcterms:modified xsi:type="dcterms:W3CDTF">2017-10-23T15:03:00Z</dcterms:modified>
</cp:coreProperties>
</file>