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6418" w:rsidRDefault="00E173D7" w:rsidP="00E173D7">
      <w:pPr>
        <w:pStyle w:val="Title"/>
        <w:rPr>
          <w:rStyle w:val="Strong"/>
          <w:b/>
          <w:bCs w:val="0"/>
          <w:sz w:val="36"/>
        </w:rPr>
      </w:pPr>
      <w:bookmarkStart w:id="0" w:name="_GoBack"/>
      <w:bookmarkEnd w:id="0"/>
      <w:r w:rsidRPr="00E173D7">
        <w:rPr>
          <w:rStyle w:val="Strong"/>
          <w:b/>
          <w:bCs w:val="0"/>
          <w:sz w:val="36"/>
        </w:rPr>
        <w:t xml:space="preserve">2016 Census: </w:t>
      </w:r>
      <w:r w:rsidR="00075B17">
        <w:rPr>
          <w:rStyle w:val="Strong"/>
          <w:b/>
          <w:bCs w:val="0"/>
          <w:sz w:val="36"/>
        </w:rPr>
        <w:t>Age and Sex</w:t>
      </w:r>
      <w:r w:rsidR="001C046F">
        <w:rPr>
          <w:rStyle w:val="Strong"/>
          <w:b/>
          <w:bCs w:val="0"/>
          <w:sz w:val="36"/>
        </w:rPr>
        <w:t>;</w:t>
      </w:r>
      <w:r w:rsidR="00075B17">
        <w:rPr>
          <w:rStyle w:val="Strong"/>
          <w:b/>
          <w:bCs w:val="0"/>
          <w:sz w:val="36"/>
        </w:rPr>
        <w:t xml:space="preserve"> Type of Dwelling</w:t>
      </w:r>
    </w:p>
    <w:p w:rsidR="00E173D7" w:rsidRDefault="00E173D7" w:rsidP="00E173D7">
      <w:pPr>
        <w:pStyle w:val="Body"/>
      </w:pPr>
      <w:r w:rsidRPr="007B6418">
        <w:rPr>
          <w:rStyle w:val="Strong"/>
        </w:rPr>
        <w:t>Date</w:t>
      </w:r>
      <w:r w:rsidR="002473CF">
        <w:rPr>
          <w:rStyle w:val="Strong"/>
        </w:rPr>
        <w:t xml:space="preserve"> Prepared</w:t>
      </w:r>
      <w:r w:rsidRPr="007B6418">
        <w:rPr>
          <w:rStyle w:val="Strong"/>
        </w:rPr>
        <w:t xml:space="preserve">: </w:t>
      </w:r>
      <w:r>
        <w:rPr>
          <w:rStyle w:val="Strong"/>
        </w:rPr>
        <w:t xml:space="preserve"> </w:t>
      </w:r>
      <w:r w:rsidR="00F130B5">
        <w:t xml:space="preserve">May </w:t>
      </w:r>
      <w:r w:rsidR="00A05C8F">
        <w:t>4</w:t>
      </w:r>
      <w:r w:rsidRPr="007B6418">
        <w:t>, 2017</w:t>
      </w:r>
    </w:p>
    <w:p w:rsidR="00E173D7" w:rsidRDefault="00E173D7" w:rsidP="00E173D7">
      <w:pPr>
        <w:pStyle w:val="Body"/>
      </w:pPr>
    </w:p>
    <w:p w:rsidR="00E173D7" w:rsidRDefault="00E173D7" w:rsidP="002473CF">
      <w:pPr>
        <w:tabs>
          <w:tab w:val="left" w:pos="1980"/>
          <w:tab w:val="left" w:pos="7797"/>
        </w:tabs>
        <w:rPr>
          <w:rFonts w:cs="Arial"/>
          <w:kern w:val="2"/>
        </w:rPr>
      </w:pPr>
      <w:r w:rsidRPr="00B906CB">
        <w:rPr>
          <w:rFonts w:cs="Arial"/>
          <w:kern w:val="2"/>
        </w:rPr>
        <w:t>The 201</w:t>
      </w:r>
      <w:r>
        <w:rPr>
          <w:rFonts w:cs="Arial"/>
          <w:kern w:val="2"/>
        </w:rPr>
        <w:t>6</w:t>
      </w:r>
      <w:r w:rsidRPr="00B906CB">
        <w:rPr>
          <w:rFonts w:cs="Arial"/>
          <w:kern w:val="2"/>
        </w:rPr>
        <w:t xml:space="preserve"> Census </w:t>
      </w:r>
      <w:r>
        <w:rPr>
          <w:rFonts w:cs="Arial"/>
          <w:kern w:val="2"/>
        </w:rPr>
        <w:t>was</w:t>
      </w:r>
      <w:r w:rsidR="007554DB">
        <w:rPr>
          <w:rFonts w:cs="Arial"/>
          <w:kern w:val="2"/>
        </w:rPr>
        <w:t xml:space="preserve"> held</w:t>
      </w:r>
      <w:r w:rsidR="007D13D3">
        <w:rPr>
          <w:rFonts w:cs="Arial"/>
          <w:kern w:val="2"/>
        </w:rPr>
        <w:t xml:space="preserve"> </w:t>
      </w:r>
      <w:r w:rsidR="007554DB">
        <w:rPr>
          <w:rFonts w:cs="Arial"/>
          <w:kern w:val="2"/>
        </w:rPr>
        <w:t>on</w:t>
      </w:r>
      <w:r>
        <w:rPr>
          <w:rFonts w:cs="Arial"/>
          <w:kern w:val="2"/>
        </w:rPr>
        <w:t xml:space="preserve"> May </w:t>
      </w:r>
      <w:r w:rsidR="002F448F">
        <w:rPr>
          <w:rFonts w:cs="Arial"/>
          <w:kern w:val="2"/>
        </w:rPr>
        <w:t>10</w:t>
      </w:r>
      <w:r>
        <w:rPr>
          <w:rFonts w:cs="Arial"/>
          <w:kern w:val="2"/>
        </w:rPr>
        <w:t>, 201</w:t>
      </w:r>
      <w:r w:rsidR="002F448F">
        <w:rPr>
          <w:rFonts w:cs="Arial"/>
          <w:kern w:val="2"/>
        </w:rPr>
        <w:t>6</w:t>
      </w:r>
      <w:r>
        <w:rPr>
          <w:rFonts w:cs="Arial"/>
          <w:kern w:val="2"/>
        </w:rPr>
        <w:t xml:space="preserve">. </w:t>
      </w:r>
      <w:r w:rsidR="00C22B07">
        <w:rPr>
          <w:rFonts w:cs="Arial"/>
          <w:kern w:val="2"/>
        </w:rPr>
        <w:t>On May 3, 2017</w:t>
      </w:r>
      <w:r w:rsidRPr="00B906CB">
        <w:rPr>
          <w:rFonts w:cs="Arial"/>
          <w:kern w:val="2"/>
        </w:rPr>
        <w:t xml:space="preserve">, Statistics Canada released data </w:t>
      </w:r>
      <w:r w:rsidR="001C046F">
        <w:rPr>
          <w:rFonts w:cs="Arial"/>
          <w:kern w:val="2"/>
        </w:rPr>
        <w:t xml:space="preserve">from the 2016 Census of </w:t>
      </w:r>
      <w:r w:rsidR="00C22B07">
        <w:rPr>
          <w:rFonts w:cs="Arial"/>
          <w:kern w:val="2"/>
        </w:rPr>
        <w:t>P</w:t>
      </w:r>
      <w:r w:rsidR="001C046F">
        <w:rPr>
          <w:rFonts w:cs="Arial"/>
          <w:kern w:val="2"/>
        </w:rPr>
        <w:t>opulation</w:t>
      </w:r>
      <w:r w:rsidR="00FA02B0">
        <w:rPr>
          <w:rFonts w:cs="Arial"/>
          <w:kern w:val="2"/>
        </w:rPr>
        <w:t xml:space="preserve"> on</w:t>
      </w:r>
      <w:r w:rsidR="001C046F">
        <w:rPr>
          <w:rFonts w:cs="Arial"/>
          <w:kern w:val="2"/>
        </w:rPr>
        <w:t xml:space="preserve"> age and sex, and on type of dwelling.</w:t>
      </w:r>
    </w:p>
    <w:p w:rsidR="002F448F" w:rsidRPr="000749C8" w:rsidRDefault="00E173D7" w:rsidP="000749C8">
      <w:pPr>
        <w:pStyle w:val="Section"/>
      </w:pPr>
      <w:r w:rsidRPr="000749C8">
        <w:t>Key Points</w:t>
      </w:r>
    </w:p>
    <w:p w:rsidR="00D33806" w:rsidRDefault="0054180C" w:rsidP="000C1FD8">
      <w:pPr>
        <w:pStyle w:val="ListBullet"/>
      </w:pPr>
      <w:r>
        <w:t xml:space="preserve">The </w:t>
      </w:r>
      <w:r w:rsidR="00D33806">
        <w:t>age</w:t>
      </w:r>
      <w:r>
        <w:t xml:space="preserve"> a</w:t>
      </w:r>
      <w:r w:rsidR="00D33806">
        <w:t>nd</w:t>
      </w:r>
      <w:r>
        <w:t xml:space="preserve"> s</w:t>
      </w:r>
      <w:r w:rsidR="00D33806">
        <w:t>ex</w:t>
      </w:r>
      <w:r>
        <w:t xml:space="preserve"> </w:t>
      </w:r>
      <w:r w:rsidR="00D33806">
        <w:t>figures</w:t>
      </w:r>
      <w:r>
        <w:t xml:space="preserve"> </w:t>
      </w:r>
      <w:r w:rsidR="00D33806">
        <w:t>in</w:t>
      </w:r>
      <w:r>
        <w:t xml:space="preserve"> </w:t>
      </w:r>
      <w:r w:rsidR="00D33806">
        <w:t>this</w:t>
      </w:r>
      <w:r>
        <w:t xml:space="preserve"> </w:t>
      </w:r>
      <w:r w:rsidR="00D33806">
        <w:t>Backgrounder</w:t>
      </w:r>
      <w:r>
        <w:t xml:space="preserve"> </w:t>
      </w:r>
      <w:r w:rsidR="00D33806">
        <w:t>are</w:t>
      </w:r>
      <w:r>
        <w:t xml:space="preserve"> </w:t>
      </w:r>
      <w:r w:rsidR="00D33806">
        <w:t>not</w:t>
      </w:r>
      <w:r>
        <w:t xml:space="preserve"> </w:t>
      </w:r>
      <w:r w:rsidR="00D33806">
        <w:t>adjusted</w:t>
      </w:r>
      <w:r>
        <w:t xml:space="preserve"> </w:t>
      </w:r>
      <w:r w:rsidR="00D33806">
        <w:t>for</w:t>
      </w:r>
      <w:r>
        <w:t xml:space="preserve"> </w:t>
      </w:r>
      <w:r w:rsidR="00D33806">
        <w:t>undercoverage</w:t>
      </w:r>
      <w:r w:rsidR="00686FA8">
        <w:t>, See the</w:t>
      </w:r>
      <w:r>
        <w:t xml:space="preserve"> Glossary </w:t>
      </w:r>
      <w:r w:rsidR="00686FA8">
        <w:t>for an explanation of undercoverage</w:t>
      </w:r>
      <w:r w:rsidR="009135F5">
        <w:t>.</w:t>
      </w:r>
    </w:p>
    <w:p w:rsidR="009135F5" w:rsidRPr="009135F5" w:rsidRDefault="009135F5" w:rsidP="009135F5">
      <w:pPr>
        <w:pStyle w:val="ListBullet"/>
      </w:pPr>
      <w:r>
        <w:t xml:space="preserve">All figures in this backgrounder are </w:t>
      </w:r>
      <w:r w:rsidRPr="00F73177">
        <w:rPr>
          <w:rStyle w:val="BodyChar"/>
        </w:rPr>
        <w:t>randomly rounded to multiples of 5 by Statistics Canada as a privacy measure</w:t>
      </w:r>
      <w:r>
        <w:rPr>
          <w:rStyle w:val="BodyChar"/>
        </w:rPr>
        <w:t>.</w:t>
      </w:r>
    </w:p>
    <w:p w:rsidR="002F448F" w:rsidRDefault="001C046F" w:rsidP="000749C8">
      <w:pPr>
        <w:pStyle w:val="Heading10"/>
      </w:pPr>
      <w:r>
        <w:t>Age and Sex</w:t>
      </w:r>
    </w:p>
    <w:p w:rsidR="001C0F4D" w:rsidRDefault="001C046F" w:rsidP="001C0F4D">
      <w:pPr>
        <w:pStyle w:val="ListBullet"/>
        <w:numPr>
          <w:ilvl w:val="0"/>
          <w:numId w:val="0"/>
        </w:numPr>
        <w:ind w:left="360"/>
        <w:rPr>
          <w:b/>
        </w:rPr>
      </w:pPr>
      <w:r w:rsidRPr="00D33806">
        <w:rPr>
          <w:b/>
        </w:rPr>
        <w:t>Population counts by age groups</w:t>
      </w:r>
    </w:p>
    <w:p w:rsidR="00FA55DE" w:rsidRPr="00FA55DE" w:rsidRDefault="00FA55DE" w:rsidP="000749C8">
      <w:pPr>
        <w:pStyle w:val="ListBullet"/>
        <w:rPr>
          <w:b/>
        </w:rPr>
      </w:pPr>
      <w:r w:rsidRPr="00FA55DE">
        <w:t>The 2016 Census recorded</w:t>
      </w:r>
      <w:r>
        <w:t xml:space="preserve"> </w:t>
      </w:r>
      <w:r w:rsidR="00AF5EF8">
        <w:t>2,731,570 people residing in Toronto</w:t>
      </w:r>
      <w:r w:rsidR="009135F5">
        <w:t>.</w:t>
      </w:r>
      <w:r w:rsidR="00AF5EF8">
        <w:t xml:space="preserve"> </w:t>
      </w:r>
      <w:r w:rsidR="00AF5EF8" w:rsidRPr="00F73177">
        <w:rPr>
          <w:rStyle w:val="BodyChar"/>
        </w:rPr>
        <w:t xml:space="preserve">Of this total, 398,135 were age 0-14, </w:t>
      </w:r>
      <w:r w:rsidR="00F73177" w:rsidRPr="00F73177">
        <w:rPr>
          <w:rStyle w:val="BodyChar"/>
        </w:rPr>
        <w:t>340,270 were age 15 to 24, 836,220 were age 25 to 44, 730,005 were age 45-64, and</w:t>
      </w:r>
      <w:r w:rsidR="00F73177" w:rsidRPr="00F73177">
        <w:t xml:space="preserve"> 426,945 were over the age of 65.</w:t>
      </w:r>
    </w:p>
    <w:p w:rsidR="001C0F4D" w:rsidRDefault="001C046F" w:rsidP="001C0F4D">
      <w:pPr>
        <w:pStyle w:val="ListBullet"/>
        <w:numPr>
          <w:ilvl w:val="0"/>
          <w:numId w:val="0"/>
        </w:numPr>
        <w:ind w:left="360"/>
      </w:pPr>
      <w:r w:rsidRPr="000B6FC8">
        <w:rPr>
          <w:rStyle w:val="Strong"/>
        </w:rPr>
        <w:t>Population share of age groups</w:t>
      </w:r>
    </w:p>
    <w:p w:rsidR="00786A11" w:rsidRDefault="000B6FC8" w:rsidP="000749C8">
      <w:pPr>
        <w:pStyle w:val="ListBullet"/>
      </w:pPr>
      <w:r>
        <w:t xml:space="preserve">The age structure of Toronto's population is continuing to shift. </w:t>
      </w:r>
      <w:r w:rsidR="00C97C71">
        <w:t xml:space="preserve">For the first time, there are more people over the age of 65 in Toronto than there are people under the age of 15. </w:t>
      </w:r>
      <w:r>
        <w:t>In the five years since the 2011 Census, Toronto has continued to gain older adults.</w:t>
      </w:r>
      <w:r w:rsidR="00663031">
        <w:t xml:space="preserve"> The share of </w:t>
      </w:r>
      <w:r w:rsidR="00AF13E3">
        <w:t>the population</w:t>
      </w:r>
      <w:r w:rsidR="00663031">
        <w:t xml:space="preserve"> over the age of 65 has increased from </w:t>
      </w:r>
      <w:r w:rsidR="008C2215">
        <w:t>14.4</w:t>
      </w:r>
      <w:r w:rsidR="00663031">
        <w:t>%</w:t>
      </w:r>
      <w:r w:rsidR="008C2215">
        <w:t xml:space="preserve"> in 2011</w:t>
      </w:r>
      <w:r w:rsidR="00663031">
        <w:t xml:space="preserve"> to </w:t>
      </w:r>
      <w:r w:rsidR="00C97C71">
        <w:t>15.6</w:t>
      </w:r>
      <w:r w:rsidR="00663031">
        <w:t>%</w:t>
      </w:r>
      <w:r w:rsidR="00C97C71">
        <w:t xml:space="preserve"> in 2016</w:t>
      </w:r>
      <w:r w:rsidR="00663031">
        <w:t>.</w:t>
      </w:r>
      <w:r w:rsidR="00AF13E3">
        <w:t xml:space="preserve"> At the same time, the </w:t>
      </w:r>
      <w:r w:rsidR="00C97C71">
        <w:t>share</w:t>
      </w:r>
      <w:r w:rsidR="00AF13E3">
        <w:t xml:space="preserve"> of children age 0-</w:t>
      </w:r>
      <w:r w:rsidR="00C97C71">
        <w:t>1</w:t>
      </w:r>
      <w:r w:rsidR="00AF13E3">
        <w:t xml:space="preserve">4 </w:t>
      </w:r>
      <w:r w:rsidR="00C97C71">
        <w:t>decreased, from 15.4% in 2011 t</w:t>
      </w:r>
      <w:r w:rsidR="00AF13E3">
        <w:t>o</w:t>
      </w:r>
      <w:r w:rsidR="00C97C71">
        <w:t xml:space="preserve"> 14.6% in 2016</w:t>
      </w:r>
      <w:r w:rsidR="00AF13E3">
        <w:t>.</w:t>
      </w:r>
      <w:r w:rsidR="00095DC2">
        <w:t xml:space="preserve"> </w:t>
      </w:r>
    </w:p>
    <w:p w:rsidR="002F448F" w:rsidRDefault="00095DC2" w:rsidP="000749C8">
      <w:pPr>
        <w:pStyle w:val="ListBullet"/>
      </w:pPr>
      <w:r>
        <w:t xml:space="preserve">Of particular note is that people age 85 and older numbered 66,000 in 2016, or 2.4% of the population. </w:t>
      </w:r>
      <w:r w:rsidR="007554DB">
        <w:t xml:space="preserve">In the previous Census in 2011, this age group constituted 2.1% of the population, and </w:t>
      </w:r>
      <w:r w:rsidR="001C0F4D">
        <w:t>in the 2006 Census, this group was only 1.7% of the population.</w:t>
      </w:r>
    </w:p>
    <w:p w:rsidR="001C0F4D" w:rsidRDefault="005E1EAB" w:rsidP="001C0F4D">
      <w:pPr>
        <w:pStyle w:val="ListBullet"/>
        <w:numPr>
          <w:ilvl w:val="0"/>
          <w:numId w:val="0"/>
        </w:numPr>
        <w:ind w:left="360"/>
      </w:pPr>
      <w:r w:rsidRPr="005D5D0B">
        <w:rPr>
          <w:b/>
        </w:rPr>
        <w:t>Population change in last five years for age groups</w:t>
      </w:r>
    </w:p>
    <w:p w:rsidR="00AF13E3" w:rsidRPr="005E1EAB" w:rsidRDefault="008B4EEF" w:rsidP="000C1FD8">
      <w:pPr>
        <w:pStyle w:val="ListBullet"/>
        <w:rPr>
          <w:rStyle w:val="Strong"/>
          <w:b w:val="0"/>
          <w:bCs w:val="0"/>
        </w:rPr>
      </w:pPr>
      <w:r>
        <w:t>While the population as a whole grew 4.5% from 2011 to 2016, some age groups saw their populations increase at a much higher rate. Th</w:t>
      </w:r>
      <w:r w:rsidR="00AF13E3" w:rsidRPr="005D5D0B">
        <w:rPr>
          <w:rStyle w:val="Strong"/>
          <w:b w:val="0"/>
          <w:bCs w:val="0"/>
        </w:rPr>
        <w:t>e fastest growing five year age gr</w:t>
      </w:r>
      <w:r w:rsidR="00B67D34" w:rsidRPr="005D5D0B">
        <w:rPr>
          <w:rStyle w:val="Strong"/>
          <w:b w:val="0"/>
          <w:bCs w:val="0"/>
        </w:rPr>
        <w:t>oups between 2011 and 2016 were</w:t>
      </w:r>
      <w:r w:rsidR="005D5D0B" w:rsidRPr="005D5D0B">
        <w:rPr>
          <w:rStyle w:val="Strong"/>
          <w:b w:val="0"/>
          <w:bCs w:val="0"/>
        </w:rPr>
        <w:t xml:space="preserve"> all over the age of 90.</w:t>
      </w:r>
      <w:r w:rsidR="005D5D0B">
        <w:rPr>
          <w:rStyle w:val="Strong"/>
          <w:b w:val="0"/>
          <w:bCs w:val="0"/>
        </w:rPr>
        <w:t xml:space="preserve"> 90-94 year olds increased 41.8%, 95-99 year olds increased by 30.9%, and 100 year olds and older increased by 43.9%. The next highest rate of population </w:t>
      </w:r>
      <w:r>
        <w:rPr>
          <w:rStyle w:val="Strong"/>
          <w:b w:val="0"/>
          <w:bCs w:val="0"/>
        </w:rPr>
        <w:t xml:space="preserve">growth was in the 65-69 age group, as the baby boom generation </w:t>
      </w:r>
      <w:r w:rsidR="003F4C2A">
        <w:t xml:space="preserve">(population born between 1946 and 1961) </w:t>
      </w:r>
      <w:r>
        <w:rPr>
          <w:rStyle w:val="Strong"/>
          <w:b w:val="0"/>
          <w:bCs w:val="0"/>
        </w:rPr>
        <w:t>reached this age bracket</w:t>
      </w:r>
      <w:r w:rsidR="003F4C2A">
        <w:rPr>
          <w:rStyle w:val="Strong"/>
          <w:b w:val="0"/>
          <w:bCs w:val="0"/>
        </w:rPr>
        <w:t>, causing it to increase by 27.4% from 2011 to 2016.</w:t>
      </w:r>
    </w:p>
    <w:p w:rsidR="00B67D34" w:rsidRDefault="00787A20" w:rsidP="00B67D34">
      <w:pPr>
        <w:pStyle w:val="ListBullet"/>
      </w:pPr>
      <w:r>
        <w:lastRenderedPageBreak/>
        <w:t xml:space="preserve">The increase of population aged 65 and older of 49,490 </w:t>
      </w:r>
      <w:r w:rsidR="0047556D">
        <w:t xml:space="preserve">from 2011 to 2016 is a significant proportion of the total </w:t>
      </w:r>
      <w:r>
        <w:t xml:space="preserve">population increase seen in the </w:t>
      </w:r>
      <w:r w:rsidR="00686FA8">
        <w:t>c</w:t>
      </w:r>
      <w:r>
        <w:t>ity of Toronto</w:t>
      </w:r>
      <w:r w:rsidR="0047556D">
        <w:t xml:space="preserve"> of 116,520</w:t>
      </w:r>
      <w:r>
        <w:t>.</w:t>
      </w:r>
    </w:p>
    <w:p w:rsidR="001C0F4D" w:rsidRDefault="00805222" w:rsidP="001C0F4D">
      <w:pPr>
        <w:pStyle w:val="ListBullet"/>
        <w:numPr>
          <w:ilvl w:val="0"/>
          <w:numId w:val="0"/>
        </w:numPr>
        <w:ind w:left="360"/>
      </w:pPr>
      <w:r>
        <w:rPr>
          <w:rStyle w:val="Strong"/>
        </w:rPr>
        <w:t>Average</w:t>
      </w:r>
      <w:r w:rsidR="00E93A8E" w:rsidRPr="000B6FC8">
        <w:rPr>
          <w:rStyle w:val="Strong"/>
        </w:rPr>
        <w:t xml:space="preserve"> age</w:t>
      </w:r>
    </w:p>
    <w:p w:rsidR="001C046F" w:rsidRDefault="00E93A8E" w:rsidP="001C046F">
      <w:pPr>
        <w:pStyle w:val="ListBullet"/>
      </w:pPr>
      <w:r>
        <w:t xml:space="preserve">In 2016, Toronto's </w:t>
      </w:r>
      <w:r w:rsidR="00805222">
        <w:t>mean</w:t>
      </w:r>
      <w:r>
        <w:t xml:space="preserve"> age was </w:t>
      </w:r>
      <w:r w:rsidR="00805222">
        <w:t>40.6</w:t>
      </w:r>
      <w:r>
        <w:t xml:space="preserve">, slightly </w:t>
      </w:r>
      <w:r w:rsidR="00805222">
        <w:t>lower than</w:t>
      </w:r>
      <w:r>
        <w:t xml:space="preserve"> the </w:t>
      </w:r>
      <w:r w:rsidR="00805222">
        <w:t>average age of Ontario</w:t>
      </w:r>
      <w:r w:rsidR="003F4C2A">
        <w:t xml:space="preserve"> and Canada, </w:t>
      </w:r>
      <w:r w:rsidR="00BD3DEC">
        <w:t>with</w:t>
      </w:r>
      <w:r w:rsidR="003F4C2A">
        <w:t xml:space="preserve"> both observed average ages of 41.0 years</w:t>
      </w:r>
      <w:r w:rsidR="00805222">
        <w:t xml:space="preserve">. In previous years, Statistics Canada released median rather than mean age figures, so this statistic </w:t>
      </w:r>
      <w:r w:rsidR="00BF7C78">
        <w:t>is not</w:t>
      </w:r>
      <w:r w:rsidR="00805222">
        <w:t xml:space="preserve"> directly compar</w:t>
      </w:r>
      <w:r w:rsidR="00BF7C78">
        <w:t>abl</w:t>
      </w:r>
      <w:r w:rsidR="00805222">
        <w:t>e to previous Census years.</w:t>
      </w:r>
    </w:p>
    <w:p w:rsidR="00643806" w:rsidRPr="00643806" w:rsidRDefault="00643806" w:rsidP="00643806">
      <w:pPr>
        <w:pStyle w:val="ListBullet"/>
      </w:pPr>
      <w:r>
        <w:t>In the GTHA region, Toronto is the second-oldest single</w:t>
      </w:r>
      <w:r w:rsidR="00D178E4">
        <w:t>-tier</w:t>
      </w:r>
      <w:r>
        <w:t xml:space="preserve"> or </w:t>
      </w:r>
      <w:r w:rsidR="00D178E4">
        <w:t>regional</w:t>
      </w:r>
      <w:r>
        <w:t xml:space="preserve"> municipality by average age. Only Hamilton, with an average age of </w:t>
      </w:r>
      <w:r w:rsidR="00DF06A0">
        <w:t>41.3, was older. Peel, with an average age of 38.3, was youngest.</w:t>
      </w:r>
    </w:p>
    <w:p w:rsidR="00643806" w:rsidRDefault="00160B4A" w:rsidP="00643806">
      <w:pPr>
        <w:pStyle w:val="ListBullet"/>
        <w:numPr>
          <w:ilvl w:val="0"/>
          <w:numId w:val="0"/>
        </w:numPr>
        <w:ind w:left="360"/>
      </w:pPr>
      <w:r w:rsidRPr="006D609C">
        <w:rPr>
          <w:b/>
        </w:rPr>
        <w:t>Male/female ratio</w:t>
      </w:r>
    </w:p>
    <w:p w:rsidR="00160B4A" w:rsidRDefault="00CA3823" w:rsidP="00441053">
      <w:pPr>
        <w:pStyle w:val="ListBullet"/>
      </w:pPr>
      <w:r>
        <w:t xml:space="preserve">In 2016, the census counted </w:t>
      </w:r>
      <w:r w:rsidR="00262BFD">
        <w:t>1,313,590</w:t>
      </w:r>
      <w:r>
        <w:t xml:space="preserve"> m</w:t>
      </w:r>
      <w:r w:rsidR="00262BFD">
        <w:t>ale</w:t>
      </w:r>
      <w:r w:rsidR="00441053">
        <w:t xml:space="preserve"> re</w:t>
      </w:r>
      <w:r w:rsidR="00262BFD">
        <w:t>s</w:t>
      </w:r>
      <w:r w:rsidR="00441053">
        <w:t>idents</w:t>
      </w:r>
      <w:r>
        <w:t xml:space="preserve"> (</w:t>
      </w:r>
      <w:r w:rsidR="009F6BA0">
        <w:t>48.1</w:t>
      </w:r>
      <w:r>
        <w:t xml:space="preserve">% of the total) and </w:t>
      </w:r>
      <w:r w:rsidR="00441053" w:rsidRPr="00441053">
        <w:t>1</w:t>
      </w:r>
      <w:r w:rsidR="00441053">
        <w:t>,</w:t>
      </w:r>
      <w:r w:rsidR="00441053" w:rsidRPr="00441053">
        <w:t>417</w:t>
      </w:r>
      <w:r w:rsidR="00441053">
        <w:t>,</w:t>
      </w:r>
      <w:r w:rsidR="00441053" w:rsidRPr="00441053">
        <w:t>985</w:t>
      </w:r>
      <w:r w:rsidR="00441053">
        <w:t xml:space="preserve"> female residents</w:t>
      </w:r>
      <w:r>
        <w:t xml:space="preserve"> (</w:t>
      </w:r>
      <w:r w:rsidR="009F6BA0">
        <w:t>51.9</w:t>
      </w:r>
      <w:r>
        <w:t xml:space="preserve">% of the total). </w:t>
      </w:r>
      <w:r w:rsidR="009F6BA0">
        <w:t>The ratio of males to females</w:t>
      </w:r>
      <w:r w:rsidR="006D609C">
        <w:t xml:space="preserve">, </w:t>
      </w:r>
      <w:r w:rsidR="009F6BA0">
        <w:t xml:space="preserve">was </w:t>
      </w:r>
      <w:r w:rsidR="006D609C">
        <w:t>92</w:t>
      </w:r>
      <w:r w:rsidR="009F6BA0">
        <w:t>.6</w:t>
      </w:r>
      <w:r w:rsidR="006D609C">
        <w:t xml:space="preserve"> </w:t>
      </w:r>
      <w:r w:rsidR="009F6BA0">
        <w:t>males</w:t>
      </w:r>
      <w:r w:rsidR="006D609C">
        <w:t xml:space="preserve"> for every 100 </w:t>
      </w:r>
      <w:r w:rsidR="009F6BA0">
        <w:t xml:space="preserve">females. The ratio tends to decreases with older age groups. There were in fact more </w:t>
      </w:r>
      <w:r w:rsidR="00BD51D8">
        <w:t xml:space="preserve">males than females for every 5 year age group up to the 20-24 age group. The ratio continues to decline with age, </w:t>
      </w:r>
      <w:r w:rsidR="00C35887">
        <w:t>dropping sharply after age 85. F</w:t>
      </w:r>
      <w:r w:rsidR="00BD51D8">
        <w:t>or the age group of 100 year olds and over, there are only 19.2 males for every 100 females.</w:t>
      </w:r>
    </w:p>
    <w:p w:rsidR="00630DD0" w:rsidRPr="00630DD0" w:rsidRDefault="00630DD0" w:rsidP="00630DD0">
      <w:pPr>
        <w:pStyle w:val="ListBullet"/>
        <w:numPr>
          <w:ilvl w:val="0"/>
          <w:numId w:val="0"/>
        </w:numPr>
        <w:ind w:left="360"/>
        <w:rPr>
          <w:rStyle w:val="Strong"/>
        </w:rPr>
      </w:pPr>
      <w:r>
        <w:rPr>
          <w:rStyle w:val="Strong"/>
        </w:rPr>
        <w:t xml:space="preserve">Age groups </w:t>
      </w:r>
      <w:r w:rsidRPr="00630DD0">
        <w:rPr>
          <w:rStyle w:val="Strong"/>
        </w:rPr>
        <w:t>within Toronto</w:t>
      </w:r>
    </w:p>
    <w:p w:rsidR="00630DD0" w:rsidRDefault="00630DD0" w:rsidP="00630DD0">
      <w:pPr>
        <w:pStyle w:val="ListBullet"/>
      </w:pPr>
      <w:r>
        <w:t xml:space="preserve">The attached maps show patterns of concentration across four age groups: children age 0-14; youth 15-24; working age 25-64, and seniors </w:t>
      </w:r>
      <w:r w:rsidR="00E56D07">
        <w:t xml:space="preserve">age 65 and older. For children, there are concentrations across </w:t>
      </w:r>
      <w:r w:rsidR="00A470AB">
        <w:t>the city, but noticeably smaller proportions of children in the downtown core</w:t>
      </w:r>
      <w:r w:rsidR="00DD34D4">
        <w:t>. Youth 15-24 show the highest concentrations near York University</w:t>
      </w:r>
      <w:r w:rsidR="00A470AB">
        <w:t>'s Keele campus</w:t>
      </w:r>
      <w:r w:rsidR="00DD34D4">
        <w:t xml:space="preserve"> and University of Toronto</w:t>
      </w:r>
      <w:r w:rsidR="00A470AB">
        <w:t>'s downtown</w:t>
      </w:r>
      <w:r w:rsidR="00DD34D4">
        <w:t xml:space="preserve"> campus. Adults age 25-64 show the highest </w:t>
      </w:r>
      <w:r w:rsidR="00661443">
        <w:t>concentrations</w:t>
      </w:r>
      <w:r w:rsidR="00DD34D4">
        <w:t xml:space="preserve"> south of Bloor Street from </w:t>
      </w:r>
      <w:r w:rsidR="00A470AB">
        <w:t>Mimico in the west stretching to Woodbine Ave in the east.</w:t>
      </w:r>
      <w:r w:rsidR="00DD34D4">
        <w:t xml:space="preserve"> </w:t>
      </w:r>
      <w:r w:rsidR="00661443">
        <w:t>Seniors age 65+ also show pockets of concentration</w:t>
      </w:r>
      <w:r w:rsidR="00D178E4">
        <w:t xml:space="preserve"> across Toronto, most noticeably</w:t>
      </w:r>
      <w:r w:rsidR="00661443">
        <w:t xml:space="preserve"> </w:t>
      </w:r>
      <w:r w:rsidR="00AF0693">
        <w:t>around</w:t>
      </w:r>
      <w:r w:rsidR="00BF6613">
        <w:t xml:space="preserve"> Highway 404 </w:t>
      </w:r>
      <w:r w:rsidR="00661443">
        <w:t xml:space="preserve">corridor, in the north end of the </w:t>
      </w:r>
      <w:r w:rsidR="00D178E4">
        <w:t>City.</w:t>
      </w:r>
    </w:p>
    <w:p w:rsidR="00022EFE" w:rsidRDefault="00022EFE" w:rsidP="00022EFE">
      <w:pPr>
        <w:pStyle w:val="ListBullet"/>
      </w:pPr>
      <w:r>
        <w:t xml:space="preserve">Maps of the percentage of population by Census Tract in the age groups of 0-14, 15-24, 25-64, and 65 and over are included as Maps 1-4. </w:t>
      </w:r>
      <w:r w:rsidR="007543EF">
        <w:t xml:space="preserve">A regional Greater Toronto and Hamilton Area Census Tract map is also included for ages 0-14 (Map 1a) and 65 and over (Map 4a). </w:t>
      </w:r>
      <w:r>
        <w:t>A map of the average age for Census Tracts in Toronto is included as Map 5.</w:t>
      </w:r>
    </w:p>
    <w:p w:rsidR="00630DD0" w:rsidRPr="0032540B" w:rsidRDefault="00630DD0" w:rsidP="00630DD0">
      <w:pPr>
        <w:pStyle w:val="ListBullet"/>
        <w:numPr>
          <w:ilvl w:val="0"/>
          <w:numId w:val="0"/>
        </w:numPr>
        <w:ind w:left="360"/>
        <w:rPr>
          <w:rStyle w:val="Strong"/>
        </w:rPr>
      </w:pPr>
      <w:r w:rsidRPr="0032540B">
        <w:rPr>
          <w:rStyle w:val="Strong"/>
        </w:rPr>
        <w:t>Toronto within the Greater Toronto &amp; Hamilton Area</w:t>
      </w:r>
    </w:p>
    <w:p w:rsidR="00630DD0" w:rsidRDefault="00630DD0" w:rsidP="00630DD0">
      <w:pPr>
        <w:pStyle w:val="ListBullet"/>
      </w:pPr>
      <w:r>
        <w:t xml:space="preserve">Toronto </w:t>
      </w:r>
      <w:r w:rsidR="00D178E4">
        <w:t xml:space="preserve">and Hamilton are the two oldest of the regional &amp; single tier municipalities in the GTHA. </w:t>
      </w:r>
      <w:r w:rsidR="00212378">
        <w:t>While Hamilton has the largest proportion of its population over the age of 65 (at 17.3% as compared to Toronto's 15.6%), Hamilton does also have a greater proportion of its population under the age of 15 (16.2% as compared to Toronto's 14.6%).</w:t>
      </w:r>
      <w:r w:rsidR="00324D8F">
        <w:t xml:space="preserve"> Peel is the youngest of the GTHA regional municipalities, with a smaller proportion of seniors (12.8% are 65 years and older), but Halton actually has the highest proportion of children (19.5% of its population is under age 15). York </w:t>
      </w:r>
      <w:r w:rsidR="00E4648C">
        <w:t>and Durham fall in-between, with smaller proportions of children than Peel and Halton, but smaller proportions of seniors than Hamilton and Toronto.</w:t>
      </w:r>
    </w:p>
    <w:p w:rsidR="002473CF" w:rsidRPr="00A47479" w:rsidRDefault="00022EFE" w:rsidP="00A47479">
      <w:pPr>
        <w:pStyle w:val="Heading10"/>
        <w:spacing w:before="0"/>
      </w:pPr>
      <w:r>
        <w:br w:type="page"/>
      </w:r>
      <w:r w:rsidR="001C046F">
        <w:lastRenderedPageBreak/>
        <w:t>Type of Dwelling</w:t>
      </w:r>
    </w:p>
    <w:p w:rsidR="000266A2" w:rsidRPr="00A47479" w:rsidRDefault="000266A2" w:rsidP="000266A2">
      <w:pPr>
        <w:pStyle w:val="ListBullet"/>
        <w:numPr>
          <w:ilvl w:val="0"/>
          <w:numId w:val="1"/>
        </w:numPr>
      </w:pPr>
      <w:r>
        <w:t xml:space="preserve">The Type of Dwelling describes the structural type of dwelling occupied by households.  The data released includes the number of private households, the number of persons in private households, the households by person size and the total number of private occupied dwellings and the type of dwelling structure. This backgrounder provides a review of these findings for the City of Toronto, the rest of the Greater Toronto and Hamilton Area (GTHA) excluding Toronto, and the GTHA as a whole. The period of review includes the last twenty years from 1996 to 2016, </w:t>
      </w:r>
      <w:r w:rsidRPr="00A47479">
        <w:t>focussing on the recent trends in the last five- and ten-year periods.</w:t>
      </w:r>
    </w:p>
    <w:p w:rsidR="000266A2" w:rsidRPr="00A47479" w:rsidRDefault="000266A2" w:rsidP="000266A2">
      <w:pPr>
        <w:pStyle w:val="ListBullet"/>
        <w:numPr>
          <w:ilvl w:val="0"/>
          <w:numId w:val="0"/>
        </w:numPr>
        <w:ind w:left="360"/>
        <w:rPr>
          <w:b/>
        </w:rPr>
      </w:pPr>
      <w:r w:rsidRPr="00A47479">
        <w:rPr>
          <w:b/>
        </w:rPr>
        <w:t>Dwelling counts</w:t>
      </w:r>
    </w:p>
    <w:p w:rsidR="000266A2" w:rsidRPr="00A47479" w:rsidRDefault="000266A2" w:rsidP="000266A2">
      <w:pPr>
        <w:pStyle w:val="ListBullet"/>
        <w:numPr>
          <w:ilvl w:val="0"/>
          <w:numId w:val="1"/>
        </w:numPr>
      </w:pPr>
      <w:r w:rsidRPr="00A47479">
        <w:t>The number of occupied private dwellings in Toronto grew from 1,047,877 in 2011 to 1,112,930 in 2016.</w:t>
      </w:r>
    </w:p>
    <w:p w:rsidR="000266A2" w:rsidRPr="00A47479" w:rsidRDefault="000266A2" w:rsidP="000266A2">
      <w:pPr>
        <w:pStyle w:val="ListBullet"/>
        <w:numPr>
          <w:ilvl w:val="0"/>
          <w:numId w:val="1"/>
        </w:numPr>
      </w:pPr>
      <w:r w:rsidRPr="00A47479">
        <w:t>Occupied private dwellings in the city of Toronto increased by 65,055 between 2011 and 2016.  This represents 6.2% growth since 2011. This compares with an increase of 68,565 occupied dwellings or 7.0% growth between 2006 and 2011.</w:t>
      </w:r>
    </w:p>
    <w:p w:rsidR="000266A2" w:rsidRPr="004E282A" w:rsidRDefault="000266A2" w:rsidP="000266A2">
      <w:pPr>
        <w:pStyle w:val="ListBullet"/>
        <w:numPr>
          <w:ilvl w:val="0"/>
          <w:numId w:val="0"/>
        </w:numPr>
        <w:ind w:left="360"/>
        <w:rPr>
          <w:b/>
        </w:rPr>
      </w:pPr>
      <w:r w:rsidRPr="00A47479">
        <w:rPr>
          <w:rFonts w:eastAsia="Times New Roman" w:cs="Arial"/>
          <w:b/>
          <w:bCs/>
          <w:color w:val="auto"/>
          <w:lang w:eastAsia="en-CA"/>
        </w:rPr>
        <w:t>Private Households by</w:t>
      </w:r>
      <w:r w:rsidRPr="00521AFD">
        <w:rPr>
          <w:rFonts w:eastAsia="Times New Roman" w:cs="Arial"/>
          <w:b/>
          <w:bCs/>
          <w:color w:val="auto"/>
          <w:lang w:eastAsia="en-CA"/>
        </w:rPr>
        <w:t xml:space="preserve"> Household Size</w:t>
      </w:r>
      <w:r>
        <w:rPr>
          <w:b/>
        </w:rPr>
        <w:t xml:space="preserve"> </w:t>
      </w:r>
    </w:p>
    <w:p w:rsidR="000266A2" w:rsidRDefault="000266A2" w:rsidP="000266A2">
      <w:pPr>
        <w:pStyle w:val="ListBullet"/>
        <w:numPr>
          <w:ilvl w:val="0"/>
          <w:numId w:val="1"/>
        </w:numPr>
      </w:pPr>
      <w:r w:rsidRPr="005A6CF0">
        <w:t>As of 201</w:t>
      </w:r>
      <w:r>
        <w:t>6</w:t>
      </w:r>
      <w:r w:rsidRPr="005A6CF0">
        <w:t xml:space="preserve">, the number of one-person households in Toronto was </w:t>
      </w:r>
      <w:r>
        <w:t>359,955</w:t>
      </w:r>
      <w:r w:rsidRPr="005A6CF0">
        <w:t xml:space="preserve">, an increase of </w:t>
      </w:r>
      <w:r>
        <w:t>8.7</w:t>
      </w:r>
      <w:r w:rsidRPr="005A6CF0">
        <w:t>% over 20</w:t>
      </w:r>
      <w:r>
        <w:t>11</w:t>
      </w:r>
      <w:r w:rsidRPr="005A6CF0">
        <w:t xml:space="preserve">. </w:t>
      </w:r>
      <w:r>
        <w:t>The number of two-person households increased by 8.3% to a total of 333,425 households.  The number of three-person household</w:t>
      </w:r>
      <w:r w:rsidR="009E59E8">
        <w:t>s</w:t>
      </w:r>
      <w:r>
        <w:t xml:space="preserve"> grew at a more moderate rate of 4.1%. </w:t>
      </w:r>
    </w:p>
    <w:p w:rsidR="000266A2" w:rsidRDefault="000266A2" w:rsidP="000266A2">
      <w:pPr>
        <w:pStyle w:val="ListBullet"/>
        <w:numPr>
          <w:ilvl w:val="0"/>
          <w:numId w:val="1"/>
        </w:numPr>
      </w:pPr>
      <w:r>
        <w:t xml:space="preserve">The 2016 Census has modified the categories it reports for larger household sizes. As of 2016, Statistics Canada no longer provides a breakdown of the number of households of 6 or more persons. In order to compare Census results over the past twenty years, household sizes are consolidated to 4 persons and more. Households of four persons and more has increased by 3,720 households over 2011, representing 1.5% growth. </w:t>
      </w:r>
    </w:p>
    <w:p w:rsidR="000266A2" w:rsidRPr="00A47479" w:rsidRDefault="000266A2" w:rsidP="000266A2">
      <w:pPr>
        <w:pStyle w:val="ListBullet"/>
        <w:numPr>
          <w:ilvl w:val="0"/>
          <w:numId w:val="1"/>
        </w:numPr>
      </w:pPr>
      <w:r>
        <w:t>There has been significant growth in the number of one- and two-</w:t>
      </w:r>
      <w:r w:rsidRPr="005C3E8E">
        <w:t>person households</w:t>
      </w:r>
      <w:r>
        <w:t xml:space="preserve"> since 2011. These households together account for 62.3% of all households in Toronto, a slight increase to the 61.0% observed in 2011. The growth in the number of these households</w:t>
      </w:r>
      <w:r w:rsidRPr="005C3E8E">
        <w:t xml:space="preserve"> accounts for over eight out of ten additional households in </w:t>
      </w:r>
      <w:r w:rsidRPr="00A47479">
        <w:t xml:space="preserve">Toronto over the last decade. </w:t>
      </w:r>
    </w:p>
    <w:p w:rsidR="000266A2" w:rsidRPr="00A47479" w:rsidRDefault="000266A2" w:rsidP="000266A2">
      <w:pPr>
        <w:pStyle w:val="ListBullet"/>
        <w:numPr>
          <w:ilvl w:val="0"/>
          <w:numId w:val="1"/>
        </w:numPr>
      </w:pPr>
      <w:r w:rsidRPr="00A47479">
        <w:t>The average number of persons per household in Toronto has decreased from 2.46 to 2.42 in the last five years, as anticipated. The decline in average household size reflects trends in apartment unit construction over the same period in city of Toronto.</w:t>
      </w:r>
    </w:p>
    <w:p w:rsidR="000266A2" w:rsidRPr="00A47479" w:rsidRDefault="000266A2" w:rsidP="000266A2">
      <w:pPr>
        <w:pStyle w:val="ListBullet"/>
        <w:numPr>
          <w:ilvl w:val="0"/>
          <w:numId w:val="1"/>
        </w:numPr>
      </w:pPr>
      <w:r w:rsidRPr="00A47479">
        <w:t>The average number of persons in private households is lowest in Toronto (2.42) and highest in Peel Region (3.19) and York Region (3.08).</w:t>
      </w:r>
    </w:p>
    <w:p w:rsidR="000266A2" w:rsidRPr="004E282A" w:rsidRDefault="000266A2" w:rsidP="000266A2">
      <w:pPr>
        <w:pStyle w:val="ListBullet"/>
        <w:numPr>
          <w:ilvl w:val="0"/>
          <w:numId w:val="0"/>
        </w:numPr>
        <w:ind w:left="360"/>
        <w:rPr>
          <w:b/>
        </w:rPr>
      </w:pPr>
      <w:r w:rsidRPr="00A47479">
        <w:rPr>
          <w:b/>
        </w:rPr>
        <w:t>Structural type of occupied</w:t>
      </w:r>
      <w:r w:rsidRPr="004E282A">
        <w:rPr>
          <w:b/>
        </w:rPr>
        <w:t xml:space="preserve"> private dwellings</w:t>
      </w:r>
    </w:p>
    <w:p w:rsidR="000266A2" w:rsidRPr="0054042E" w:rsidRDefault="000266A2" w:rsidP="000266A2">
      <w:pPr>
        <w:pStyle w:val="ListBullet"/>
        <w:numPr>
          <w:ilvl w:val="0"/>
          <w:numId w:val="1"/>
        </w:numPr>
      </w:pPr>
      <w:r>
        <w:t>O</w:t>
      </w:r>
      <w:r w:rsidRPr="0054042E">
        <w:t xml:space="preserve">f </w:t>
      </w:r>
      <w:r>
        <w:t>the total net increase of 65,055 occupied private dwellings since 2011 in Toronto, the net change by type</w:t>
      </w:r>
      <w:r w:rsidRPr="0054042E">
        <w:t xml:space="preserve"> of structure</w:t>
      </w:r>
      <w:r>
        <w:t xml:space="preserve"> (and percentage change)</w:t>
      </w:r>
      <w:r w:rsidRPr="0054042E">
        <w:t xml:space="preserve"> </w:t>
      </w:r>
      <w:r>
        <w:t>is</w:t>
      </w:r>
      <w:r w:rsidRPr="0054042E">
        <w:t xml:space="preserve">: </w:t>
      </w:r>
    </w:p>
    <w:p w:rsidR="000266A2" w:rsidRDefault="000266A2" w:rsidP="000266A2">
      <w:pPr>
        <w:numPr>
          <w:ilvl w:val="1"/>
          <w:numId w:val="6"/>
        </w:numPr>
        <w:tabs>
          <w:tab w:val="clear" w:pos="1440"/>
          <w:tab w:val="left" w:pos="1080"/>
        </w:tabs>
        <w:ind w:left="1080"/>
        <w:rPr>
          <w:rFonts w:eastAsia="Times New Roman" w:cs="Tahoma"/>
          <w:b/>
          <w:bCs/>
          <w:lang w:eastAsia="en-CA"/>
        </w:rPr>
      </w:pPr>
      <w:r w:rsidRPr="005A6CF0">
        <w:rPr>
          <w:rFonts w:eastAsia="Times New Roman" w:cs="Tahoma"/>
          <w:bCs/>
          <w:lang w:eastAsia="en-CA"/>
        </w:rPr>
        <w:t xml:space="preserve">Single and semi-detached houses </w:t>
      </w:r>
      <w:r>
        <w:rPr>
          <w:rFonts w:eastAsia="Times New Roman" w:cs="Tahoma"/>
          <w:bCs/>
          <w:lang w:eastAsia="en-CA"/>
        </w:rPr>
        <w:t>decreased</w:t>
      </w:r>
      <w:r w:rsidRPr="005A6CF0">
        <w:rPr>
          <w:rFonts w:eastAsia="Times New Roman" w:cs="Tahoma"/>
          <w:bCs/>
          <w:lang w:eastAsia="en-CA"/>
        </w:rPr>
        <w:t xml:space="preserve"> </w:t>
      </w:r>
      <w:r>
        <w:rPr>
          <w:rFonts w:eastAsia="Times New Roman" w:cs="Tahoma"/>
          <w:bCs/>
          <w:lang w:eastAsia="en-CA"/>
        </w:rPr>
        <w:t>by 5,340 dwellings</w:t>
      </w:r>
      <w:r w:rsidRPr="005A6CF0">
        <w:rPr>
          <w:rFonts w:eastAsia="Times New Roman" w:cs="Tahoma"/>
          <w:bCs/>
          <w:lang w:eastAsia="en-CA"/>
        </w:rPr>
        <w:t xml:space="preserve"> </w:t>
      </w:r>
      <w:r>
        <w:rPr>
          <w:rFonts w:eastAsia="Times New Roman" w:cs="Tahoma"/>
          <w:bCs/>
          <w:lang w:eastAsia="en-CA"/>
        </w:rPr>
        <w:t xml:space="preserve">(-1.9%) </w:t>
      </w:r>
      <w:r>
        <w:rPr>
          <w:rFonts w:eastAsia="Times New Roman" w:cs="Tahoma"/>
          <w:bCs/>
          <w:lang w:eastAsia="en-CA"/>
        </w:rPr>
        <w:br/>
      </w:r>
      <w:r w:rsidRPr="005A6CF0">
        <w:rPr>
          <w:rFonts w:eastAsia="Times New Roman" w:cs="Tahoma"/>
          <w:bCs/>
          <w:lang w:eastAsia="en-CA"/>
        </w:rPr>
        <w:t xml:space="preserve">and </w:t>
      </w:r>
      <w:r>
        <w:rPr>
          <w:rFonts w:eastAsia="Times New Roman" w:cs="Tahoma"/>
          <w:bCs/>
          <w:lang w:eastAsia="en-CA"/>
        </w:rPr>
        <w:t>1,175</w:t>
      </w:r>
      <w:r w:rsidRPr="005A6CF0">
        <w:rPr>
          <w:rFonts w:eastAsia="Times New Roman" w:cs="Tahoma"/>
          <w:bCs/>
          <w:lang w:eastAsia="en-CA"/>
        </w:rPr>
        <w:t xml:space="preserve"> </w:t>
      </w:r>
      <w:r>
        <w:rPr>
          <w:rFonts w:eastAsia="Times New Roman" w:cs="Tahoma"/>
          <w:bCs/>
          <w:lang w:eastAsia="en-CA"/>
        </w:rPr>
        <w:t xml:space="preserve">dwellings (-1.6%) </w:t>
      </w:r>
      <w:r w:rsidRPr="005A6CF0">
        <w:rPr>
          <w:rFonts w:eastAsia="Times New Roman" w:cs="Tahoma"/>
          <w:bCs/>
          <w:lang w:eastAsia="en-CA"/>
        </w:rPr>
        <w:t>respectively;</w:t>
      </w:r>
    </w:p>
    <w:p w:rsidR="000266A2" w:rsidRPr="005A6CF0" w:rsidRDefault="000266A2" w:rsidP="000266A2">
      <w:pPr>
        <w:numPr>
          <w:ilvl w:val="1"/>
          <w:numId w:val="6"/>
        </w:numPr>
        <w:tabs>
          <w:tab w:val="clear" w:pos="1440"/>
          <w:tab w:val="num" w:pos="1030"/>
        </w:tabs>
        <w:ind w:left="1080"/>
        <w:rPr>
          <w:rFonts w:eastAsia="Times New Roman" w:cs="Tahoma"/>
          <w:bCs/>
          <w:lang w:eastAsia="en-CA"/>
        </w:rPr>
      </w:pPr>
      <w:r w:rsidRPr="005A6CF0">
        <w:rPr>
          <w:rFonts w:eastAsia="Times New Roman" w:cs="Tahoma"/>
          <w:bCs/>
          <w:lang w:eastAsia="en-CA"/>
        </w:rPr>
        <w:t xml:space="preserve">Row houses increased by </w:t>
      </w:r>
      <w:r>
        <w:rPr>
          <w:rFonts w:eastAsia="Times New Roman" w:cs="Tahoma"/>
          <w:bCs/>
          <w:lang w:eastAsia="en-CA"/>
        </w:rPr>
        <w:t>1,335 dwellings (2.2%)</w:t>
      </w:r>
      <w:r w:rsidRPr="005A6CF0">
        <w:rPr>
          <w:rFonts w:eastAsia="Times New Roman" w:cs="Tahoma"/>
          <w:bCs/>
          <w:lang w:eastAsia="en-CA"/>
        </w:rPr>
        <w:t xml:space="preserve">; </w:t>
      </w:r>
    </w:p>
    <w:p w:rsidR="000266A2" w:rsidRPr="00420205" w:rsidRDefault="000266A2" w:rsidP="000266A2">
      <w:pPr>
        <w:numPr>
          <w:ilvl w:val="1"/>
          <w:numId w:val="6"/>
        </w:numPr>
        <w:tabs>
          <w:tab w:val="clear" w:pos="1440"/>
          <w:tab w:val="num" w:pos="1030"/>
        </w:tabs>
        <w:ind w:left="1080"/>
        <w:rPr>
          <w:rFonts w:eastAsia="Times New Roman" w:cs="Tahoma"/>
          <w:bCs/>
          <w:lang w:eastAsia="en-CA"/>
        </w:rPr>
      </w:pPr>
      <w:r w:rsidRPr="005A6CF0">
        <w:rPr>
          <w:rFonts w:eastAsia="Times New Roman" w:cs="Tahoma"/>
          <w:bCs/>
          <w:lang w:eastAsia="en-CA"/>
        </w:rPr>
        <w:t>High-</w:t>
      </w:r>
      <w:r w:rsidRPr="00420205">
        <w:rPr>
          <w:rFonts w:eastAsia="Times New Roman" w:cs="Tahoma"/>
          <w:bCs/>
          <w:lang w:eastAsia="en-CA"/>
        </w:rPr>
        <w:t>rise apartments increased by 64,050 dwellings (14.9%);</w:t>
      </w:r>
    </w:p>
    <w:p w:rsidR="000266A2" w:rsidRPr="00420205" w:rsidRDefault="000266A2" w:rsidP="000266A2">
      <w:pPr>
        <w:numPr>
          <w:ilvl w:val="1"/>
          <w:numId w:val="6"/>
        </w:numPr>
        <w:tabs>
          <w:tab w:val="clear" w:pos="1440"/>
          <w:tab w:val="num" w:pos="1030"/>
        </w:tabs>
        <w:ind w:left="1080"/>
        <w:rPr>
          <w:rFonts w:eastAsia="Times New Roman" w:cs="Tahoma"/>
          <w:bCs/>
          <w:lang w:eastAsia="en-CA"/>
        </w:rPr>
      </w:pPr>
      <w:r w:rsidRPr="00420205">
        <w:rPr>
          <w:rFonts w:eastAsia="Times New Roman" w:cs="Tahoma"/>
          <w:bCs/>
          <w:lang w:eastAsia="en-CA"/>
        </w:rPr>
        <w:lastRenderedPageBreak/>
        <w:t>Low-rise apartments increased by 1,735 dwellings (1.1%);</w:t>
      </w:r>
    </w:p>
    <w:p w:rsidR="000266A2" w:rsidRPr="00521AFD" w:rsidRDefault="000266A2" w:rsidP="000266A2">
      <w:pPr>
        <w:numPr>
          <w:ilvl w:val="1"/>
          <w:numId w:val="6"/>
        </w:numPr>
        <w:tabs>
          <w:tab w:val="clear" w:pos="1440"/>
          <w:tab w:val="num" w:pos="1030"/>
        </w:tabs>
        <w:ind w:left="1080"/>
        <w:rPr>
          <w:rFonts w:eastAsia="Times New Roman" w:cs="Tahoma"/>
          <w:bCs/>
          <w:lang w:eastAsia="en-CA"/>
        </w:rPr>
      </w:pPr>
      <w:r w:rsidRPr="00521AFD">
        <w:rPr>
          <w:rFonts w:eastAsia="Times New Roman" w:cs="Tahoma"/>
          <w:bCs/>
          <w:lang w:eastAsia="en-CA"/>
        </w:rPr>
        <w:t>Duplexes increased by 3,800 dwellings (8.5%);</w:t>
      </w:r>
    </w:p>
    <w:p w:rsidR="000266A2" w:rsidRPr="00521AFD" w:rsidRDefault="000266A2" w:rsidP="000266A2">
      <w:pPr>
        <w:numPr>
          <w:ilvl w:val="1"/>
          <w:numId w:val="6"/>
        </w:numPr>
        <w:tabs>
          <w:tab w:val="clear" w:pos="1440"/>
          <w:tab w:val="num" w:pos="1030"/>
        </w:tabs>
        <w:ind w:left="1080"/>
        <w:rPr>
          <w:rFonts w:eastAsia="Times New Roman" w:cs="Tahoma"/>
          <w:bCs/>
          <w:lang w:eastAsia="en-CA"/>
        </w:rPr>
      </w:pPr>
      <w:r w:rsidRPr="00521AFD">
        <w:rPr>
          <w:rFonts w:eastAsia="Times New Roman" w:cs="Tahoma"/>
          <w:bCs/>
          <w:lang w:eastAsia="en-CA"/>
        </w:rPr>
        <w:t>Other single-attached houses increased by 665 dwellings (30.3%);</w:t>
      </w:r>
    </w:p>
    <w:p w:rsidR="000266A2" w:rsidRPr="00521AFD" w:rsidRDefault="000266A2" w:rsidP="000266A2">
      <w:pPr>
        <w:numPr>
          <w:ilvl w:val="1"/>
          <w:numId w:val="6"/>
        </w:numPr>
        <w:tabs>
          <w:tab w:val="clear" w:pos="1440"/>
          <w:tab w:val="num" w:pos="1030"/>
        </w:tabs>
        <w:ind w:left="1080"/>
        <w:rPr>
          <w:rFonts w:eastAsia="Times New Roman" w:cs="Tahoma"/>
          <w:bCs/>
          <w:lang w:eastAsia="en-CA"/>
        </w:rPr>
      </w:pPr>
      <w:r w:rsidRPr="00521AFD">
        <w:rPr>
          <w:rFonts w:eastAsia="Times New Roman" w:cs="Tahoma"/>
          <w:bCs/>
          <w:lang w:eastAsia="en-CA"/>
        </w:rPr>
        <w:t>Moveable dwellings decreased by 95 dwellings (13.6%).</w:t>
      </w:r>
    </w:p>
    <w:p w:rsidR="000266A2" w:rsidRPr="00521AFD" w:rsidRDefault="000266A2" w:rsidP="000266A2">
      <w:pPr>
        <w:ind w:left="1080"/>
        <w:rPr>
          <w:rFonts w:eastAsia="Times New Roman" w:cs="Tahoma"/>
          <w:bCs/>
          <w:lang w:eastAsia="en-CA"/>
        </w:rPr>
      </w:pPr>
    </w:p>
    <w:p w:rsidR="000266A2" w:rsidRPr="00521AFD" w:rsidRDefault="000266A2" w:rsidP="000266A2">
      <w:pPr>
        <w:pStyle w:val="ListBullet"/>
        <w:numPr>
          <w:ilvl w:val="0"/>
          <w:numId w:val="1"/>
        </w:numPr>
      </w:pPr>
      <w:r w:rsidRPr="00521AFD">
        <w:t xml:space="preserve">The increase of 64,050 apartment dwellings </w:t>
      </w:r>
      <w:r>
        <w:t xml:space="preserve">in buildings </w:t>
      </w:r>
      <w:r w:rsidRPr="00521AFD">
        <w:t xml:space="preserve">of five or more storeys since 2011 represents the largest absolute increase between Census years since 1991. In comparison, between 2006 and 2011, there were 49,530 high-rise apartment dwellings added to the City. </w:t>
      </w:r>
    </w:p>
    <w:p w:rsidR="000266A2" w:rsidRDefault="000266A2" w:rsidP="000266A2">
      <w:pPr>
        <w:pStyle w:val="ListBullet"/>
        <w:numPr>
          <w:ilvl w:val="0"/>
          <w:numId w:val="1"/>
        </w:numPr>
      </w:pPr>
      <w:r w:rsidRPr="00521AFD">
        <w:t>Map 6 "Change in 5+ Storey Dwellings – 2011 to 2016" shows the change in apartment</w:t>
      </w:r>
      <w:r>
        <w:t xml:space="preserve"> dwellings in buildings of 5 or more storeys</w:t>
      </w:r>
      <w:r w:rsidRPr="00521AFD">
        <w:t xml:space="preserve"> by Census Tract for the city of Toronto. </w:t>
      </w:r>
    </w:p>
    <w:p w:rsidR="000266A2" w:rsidRDefault="000266A2" w:rsidP="000266A2">
      <w:pPr>
        <w:pStyle w:val="ListBullet"/>
        <w:numPr>
          <w:ilvl w:val="0"/>
          <w:numId w:val="1"/>
        </w:numPr>
      </w:pPr>
      <w:r w:rsidRPr="00521AFD">
        <w:t>Map 7 "Predominant Structural Type of Dwelling, 2016" shows</w:t>
      </w:r>
      <w:r w:rsidRPr="00420205">
        <w:t xml:space="preserve"> that the city's urban growth centres are </w:t>
      </w:r>
      <w:r>
        <w:t>adding higher-density residential units</w:t>
      </w:r>
      <w:r w:rsidRPr="00420205">
        <w:t>.</w:t>
      </w:r>
    </w:p>
    <w:p w:rsidR="000266A2" w:rsidRPr="000E5E31" w:rsidRDefault="000266A2" w:rsidP="000266A2">
      <w:pPr>
        <w:pStyle w:val="ListBullet"/>
        <w:numPr>
          <w:ilvl w:val="0"/>
          <w:numId w:val="7"/>
        </w:numPr>
      </w:pPr>
      <w:r w:rsidRPr="000E5E31">
        <w:t xml:space="preserve">Toronto has accounted for 40% of the growth in occupied dwellings in the Greater Toronto and Hamilton Area (GTHA) in the last five years. In the last ten years, the city accounted for a little over one third of all growth in occupied dwellings in the GTHA. </w:t>
      </w:r>
    </w:p>
    <w:p w:rsidR="000266A2" w:rsidRDefault="000266A2" w:rsidP="000266A2">
      <w:pPr>
        <w:pStyle w:val="ListBullet"/>
        <w:numPr>
          <w:ilvl w:val="0"/>
          <w:numId w:val="7"/>
        </w:numPr>
      </w:pPr>
      <w:r>
        <w:t>Of the</w:t>
      </w:r>
      <w:r w:rsidRPr="000E5E31">
        <w:t xml:space="preserve"> net increase </w:t>
      </w:r>
      <w:r>
        <w:t>of</w:t>
      </w:r>
      <w:r w:rsidRPr="000E5E31">
        <w:t xml:space="preserve"> 65,0</w:t>
      </w:r>
      <w:r>
        <w:t>55</w:t>
      </w:r>
      <w:r w:rsidRPr="000E5E31">
        <w:t xml:space="preserve"> occupied dwellings since 2011</w:t>
      </w:r>
      <w:r>
        <w:t>, a</w:t>
      </w:r>
      <w:r w:rsidRPr="000E5E31">
        <w:t xml:space="preserve">lmost all of this net change is </w:t>
      </w:r>
      <w:r>
        <w:t xml:space="preserve">the net </w:t>
      </w:r>
      <w:r w:rsidRPr="000E5E31">
        <w:t xml:space="preserve">additional 64,050 apartment dwellings </w:t>
      </w:r>
      <w:r>
        <w:t xml:space="preserve">in buildings of five or more </w:t>
      </w:r>
      <w:r w:rsidRPr="000E5E31">
        <w:t>storeys. However, this is not necessarily reflective of the current housing stock on the ground. According to Canada Mortgage and Housing Corporation (CMHC), there were ground</w:t>
      </w:r>
      <w:r>
        <w:t>-</w:t>
      </w:r>
      <w:r w:rsidRPr="000E5E31">
        <w:t xml:space="preserve">related units </w:t>
      </w:r>
      <w:r>
        <w:t xml:space="preserve">built </w:t>
      </w:r>
      <w:r w:rsidRPr="000E5E31">
        <w:t xml:space="preserve">in addition to apartments in the city of Toronto during the </w:t>
      </w:r>
      <w:r>
        <w:t xml:space="preserve">same period. CMHC reports that there were 5,093 single units and 766 semi-detached units completed during his time. </w:t>
      </w:r>
    </w:p>
    <w:p w:rsidR="000266A2" w:rsidRDefault="000266A2" w:rsidP="000266A2">
      <w:pPr>
        <w:pStyle w:val="ListBullet"/>
        <w:numPr>
          <w:ilvl w:val="0"/>
          <w:numId w:val="7"/>
        </w:numPr>
      </w:pPr>
      <w:r>
        <w:t xml:space="preserve">According to </w:t>
      </w:r>
      <w:r w:rsidRPr="002B7E74">
        <w:t xml:space="preserve">CMHC, there were 84,748 dwelling </w:t>
      </w:r>
      <w:r>
        <w:t xml:space="preserve">units </w:t>
      </w:r>
      <w:r w:rsidRPr="002B7E74">
        <w:t>complet</w:t>
      </w:r>
      <w:r>
        <w:t>ed</w:t>
      </w:r>
      <w:r w:rsidRPr="002B7E74">
        <w:t xml:space="preserve"> in the city during a similar </w:t>
      </w:r>
      <w:r>
        <w:t xml:space="preserve">five-year </w:t>
      </w:r>
      <w:r w:rsidRPr="002B7E74">
        <w:t>period, May 1, 2011 to April 30, 2016.</w:t>
      </w:r>
      <w:r>
        <w:t xml:space="preserve">  Of the 84,748 dwelling completions recorded by CMHC in the city</w:t>
      </w:r>
      <w:r w:rsidRPr="00D86F63">
        <w:t>, s</w:t>
      </w:r>
      <w:r>
        <w:t>ingle and semi-detached houses represent 6% and 1% respectively;</w:t>
      </w:r>
      <w:r w:rsidRPr="00D86F63">
        <w:t xml:space="preserve"> </w:t>
      </w:r>
      <w:r>
        <w:t>r</w:t>
      </w:r>
      <w:r w:rsidRPr="00612A10">
        <w:t xml:space="preserve">ow </w:t>
      </w:r>
      <w:r>
        <w:t>houses</w:t>
      </w:r>
      <w:r w:rsidRPr="00612A10">
        <w:t xml:space="preserve"> </w:t>
      </w:r>
      <w:r>
        <w:t>represent</w:t>
      </w:r>
      <w:r w:rsidRPr="00612A10">
        <w:t xml:space="preserve"> </w:t>
      </w:r>
      <w:r>
        <w:t>3</w:t>
      </w:r>
      <w:r w:rsidRPr="00612A10">
        <w:t>%</w:t>
      </w:r>
      <w:r>
        <w:t xml:space="preserve"> and a</w:t>
      </w:r>
      <w:r w:rsidRPr="00D86F63">
        <w:t>partments represent 90%.</w:t>
      </w:r>
    </w:p>
    <w:p w:rsidR="000266A2" w:rsidRDefault="000266A2" w:rsidP="000266A2">
      <w:pPr>
        <w:pStyle w:val="ListBullet"/>
        <w:numPr>
          <w:ilvl w:val="0"/>
          <w:numId w:val="7"/>
        </w:numPr>
      </w:pPr>
      <w:r w:rsidRPr="000E6438">
        <w:t xml:space="preserve">The 2016 Census shows a </w:t>
      </w:r>
      <w:r>
        <w:t xml:space="preserve">net </w:t>
      </w:r>
      <w:r w:rsidRPr="000E6438">
        <w:t xml:space="preserve">decrease between 2011 and 2016 of 715 ground-related dwellings in Toronto, including single-detached houses, semi-detached houses, row/town houses, duplexes, and other single-attached houses. CMHC counted 8,127 single-detached, semi-detached, and row houses completed between May 2011 and April 2016 in Toronto. Given the difference between these two data sources, it is possible that some of these ground-related dwellings were reclassified </w:t>
      </w:r>
      <w:r>
        <w:t>to another dwelling type in the</w:t>
      </w:r>
      <w:r w:rsidRPr="000E6438">
        <w:t xml:space="preserve"> 2016</w:t>
      </w:r>
      <w:r>
        <w:t xml:space="preserve"> Census</w:t>
      </w:r>
      <w:r w:rsidRPr="000E6438">
        <w:t>.</w:t>
      </w:r>
      <w:r>
        <w:t xml:space="preserve">  It is possible that this represents an attempt to capture secondary apartments.  </w:t>
      </w:r>
      <w:r w:rsidRPr="0035641D">
        <w:t xml:space="preserve">Further study </w:t>
      </w:r>
      <w:r>
        <w:t xml:space="preserve">will be required to review the volatility in the dwelling type categories reported by the 2016 Census to determine whether there has been any potential reclassification of dwellings since the last Census. </w:t>
      </w:r>
    </w:p>
    <w:p w:rsidR="000266A2" w:rsidRPr="000E6438" w:rsidRDefault="000266A2" w:rsidP="000266A2">
      <w:pPr>
        <w:pStyle w:val="ListBullet"/>
        <w:numPr>
          <w:ilvl w:val="0"/>
          <w:numId w:val="7"/>
        </w:numPr>
      </w:pPr>
      <w:r>
        <w:t>In past Censuses, there have been reclassifications of the type of dwelling.</w:t>
      </w:r>
      <w:r w:rsidRPr="000E6438">
        <w:t xml:space="preserve"> In 2006 and 1996, the type of dwelling was coded by </w:t>
      </w:r>
      <w:r>
        <w:t>C</w:t>
      </w:r>
      <w:r w:rsidRPr="000E6438">
        <w:t xml:space="preserve">ensus representatives in the field. In 2016 and 2011, the type of dwelling was coded for only a portion of the dwellings. In areas where questionnaires were mailed to respondents and no enumerator or canvasser visited the dwelling, the structural type of dwelling reflects the </w:t>
      </w:r>
      <w:r w:rsidRPr="000E6438">
        <w:lastRenderedPageBreak/>
        <w:t xml:space="preserve">classification from 2006. For the 2016 Census, the information for structural type of dwelling was validated or updated for 31% of private dwellings in Ontario during the listing and field operation activities leading up to Census Day. For the remaining 69% of dwellings, the dwelling structural type is based on Statistics Canada's dwelling register, which draws from administrative sources and prior listing and field operation activities. </w:t>
      </w:r>
    </w:p>
    <w:p w:rsidR="000266A2" w:rsidRPr="00EF608D" w:rsidRDefault="000266A2" w:rsidP="000266A2">
      <w:pPr>
        <w:pStyle w:val="ListBullet"/>
        <w:numPr>
          <w:ilvl w:val="0"/>
          <w:numId w:val="1"/>
        </w:numPr>
      </w:pPr>
      <w:r>
        <w:t xml:space="preserve">The growth </w:t>
      </w:r>
      <w:r w:rsidR="00447172">
        <w:t xml:space="preserve">in </w:t>
      </w:r>
      <w:r>
        <w:t xml:space="preserve">apartments, row-houses and apartment duplexes has decreased the proportions of single and semi-detached houses </w:t>
      </w:r>
      <w:r w:rsidRPr="0054042E">
        <w:t>in</w:t>
      </w:r>
      <w:r>
        <w:t xml:space="preserve"> Toronto between 2011 and 2016. The s</w:t>
      </w:r>
      <w:r w:rsidRPr="00E93914">
        <w:t xml:space="preserve">tructural </w:t>
      </w:r>
      <w:r w:rsidRPr="00EF608D">
        <w:t>type of dwelling as a percentage of the total 1,112,930 occupied private dwellings in Toronto is:</w:t>
      </w:r>
    </w:p>
    <w:p w:rsidR="000266A2" w:rsidRPr="005A6CF0" w:rsidRDefault="000266A2" w:rsidP="000266A2">
      <w:pPr>
        <w:numPr>
          <w:ilvl w:val="1"/>
          <w:numId w:val="6"/>
        </w:numPr>
        <w:tabs>
          <w:tab w:val="clear" w:pos="1440"/>
          <w:tab w:val="num" w:pos="1030"/>
        </w:tabs>
        <w:ind w:left="1080"/>
        <w:rPr>
          <w:rFonts w:eastAsia="Times New Roman" w:cs="Tahoma"/>
          <w:b/>
          <w:bCs/>
          <w:lang w:eastAsia="en-CA"/>
        </w:rPr>
      </w:pPr>
      <w:r w:rsidRPr="005A6CF0">
        <w:rPr>
          <w:rFonts w:eastAsia="Times New Roman" w:cs="Tahoma"/>
          <w:bCs/>
          <w:lang w:eastAsia="en-CA"/>
        </w:rPr>
        <w:t xml:space="preserve">Single and semi-detached houses </w:t>
      </w:r>
      <w:r>
        <w:rPr>
          <w:rFonts w:eastAsia="Times New Roman" w:cs="Tahoma"/>
          <w:bCs/>
          <w:lang w:eastAsia="en-CA"/>
        </w:rPr>
        <w:t>represent 24.2</w:t>
      </w:r>
      <w:r w:rsidRPr="005A6CF0">
        <w:rPr>
          <w:rFonts w:eastAsia="Times New Roman" w:cs="Tahoma"/>
          <w:bCs/>
          <w:lang w:eastAsia="en-CA"/>
        </w:rPr>
        <w:t xml:space="preserve">% and </w:t>
      </w:r>
      <w:r>
        <w:rPr>
          <w:rFonts w:eastAsia="Times New Roman" w:cs="Tahoma"/>
          <w:bCs/>
          <w:lang w:eastAsia="en-CA"/>
        </w:rPr>
        <w:t>6.4</w:t>
      </w:r>
      <w:r w:rsidRPr="005A6CF0">
        <w:rPr>
          <w:rFonts w:eastAsia="Times New Roman" w:cs="Tahoma"/>
          <w:bCs/>
          <w:lang w:eastAsia="en-CA"/>
        </w:rPr>
        <w:t>% respectively;</w:t>
      </w:r>
    </w:p>
    <w:p w:rsidR="000266A2" w:rsidRPr="005A6CF0" w:rsidRDefault="000266A2" w:rsidP="000266A2">
      <w:pPr>
        <w:numPr>
          <w:ilvl w:val="1"/>
          <w:numId w:val="6"/>
        </w:numPr>
        <w:tabs>
          <w:tab w:val="clear" w:pos="1440"/>
          <w:tab w:val="num" w:pos="1030"/>
        </w:tabs>
        <w:ind w:left="1080"/>
        <w:rPr>
          <w:rFonts w:eastAsia="Times New Roman" w:cs="Tahoma"/>
          <w:bCs/>
          <w:lang w:eastAsia="en-CA"/>
        </w:rPr>
      </w:pPr>
      <w:r w:rsidRPr="005A6CF0">
        <w:rPr>
          <w:rFonts w:eastAsia="Times New Roman" w:cs="Tahoma"/>
          <w:bCs/>
          <w:lang w:eastAsia="en-CA"/>
        </w:rPr>
        <w:t xml:space="preserve">Row houses </w:t>
      </w:r>
      <w:r>
        <w:rPr>
          <w:rFonts w:eastAsia="Times New Roman" w:cs="Tahoma"/>
          <w:bCs/>
          <w:lang w:eastAsia="en-CA"/>
        </w:rPr>
        <w:t>represent 5.5%;</w:t>
      </w:r>
      <w:r w:rsidRPr="005A6CF0">
        <w:rPr>
          <w:rFonts w:eastAsia="Times New Roman" w:cs="Tahoma"/>
          <w:bCs/>
          <w:lang w:eastAsia="en-CA"/>
        </w:rPr>
        <w:t xml:space="preserve"> </w:t>
      </w:r>
    </w:p>
    <w:p w:rsidR="000266A2" w:rsidRPr="005A6CF0" w:rsidRDefault="000266A2" w:rsidP="000266A2">
      <w:pPr>
        <w:numPr>
          <w:ilvl w:val="1"/>
          <w:numId w:val="6"/>
        </w:numPr>
        <w:tabs>
          <w:tab w:val="clear" w:pos="1440"/>
          <w:tab w:val="num" w:pos="1030"/>
        </w:tabs>
        <w:ind w:left="1080"/>
        <w:rPr>
          <w:rFonts w:eastAsia="Times New Roman" w:cs="Tahoma"/>
          <w:bCs/>
          <w:lang w:eastAsia="en-CA"/>
        </w:rPr>
      </w:pPr>
      <w:r w:rsidRPr="005A6CF0">
        <w:rPr>
          <w:rFonts w:eastAsia="Times New Roman" w:cs="Tahoma"/>
          <w:bCs/>
          <w:lang w:eastAsia="en-CA"/>
        </w:rPr>
        <w:t xml:space="preserve">High-rise apartments </w:t>
      </w:r>
      <w:r>
        <w:rPr>
          <w:rFonts w:eastAsia="Times New Roman" w:cs="Tahoma"/>
          <w:bCs/>
          <w:lang w:eastAsia="en-CA"/>
        </w:rPr>
        <w:t>represent 44.3%;</w:t>
      </w:r>
      <w:r w:rsidRPr="005A6CF0">
        <w:rPr>
          <w:rFonts w:eastAsia="Times New Roman" w:cs="Tahoma"/>
          <w:bCs/>
          <w:lang w:eastAsia="en-CA"/>
        </w:rPr>
        <w:t xml:space="preserve"> </w:t>
      </w:r>
    </w:p>
    <w:p w:rsidR="000266A2" w:rsidRPr="005A6CF0" w:rsidRDefault="000266A2" w:rsidP="000266A2">
      <w:pPr>
        <w:numPr>
          <w:ilvl w:val="1"/>
          <w:numId w:val="6"/>
        </w:numPr>
        <w:tabs>
          <w:tab w:val="clear" w:pos="1440"/>
          <w:tab w:val="num" w:pos="1030"/>
        </w:tabs>
        <w:ind w:left="1080"/>
        <w:rPr>
          <w:rFonts w:eastAsia="Times New Roman" w:cs="Tahoma"/>
          <w:bCs/>
          <w:lang w:eastAsia="en-CA"/>
        </w:rPr>
      </w:pPr>
      <w:r w:rsidRPr="005A6CF0">
        <w:rPr>
          <w:rFonts w:eastAsia="Times New Roman" w:cs="Tahoma"/>
          <w:bCs/>
          <w:lang w:eastAsia="en-CA"/>
        </w:rPr>
        <w:t xml:space="preserve">Low-rise apartments </w:t>
      </w:r>
      <w:r>
        <w:rPr>
          <w:rFonts w:eastAsia="Times New Roman" w:cs="Tahoma"/>
          <w:bCs/>
          <w:lang w:eastAsia="en-CA"/>
        </w:rPr>
        <w:t>represent 14.9%;</w:t>
      </w:r>
      <w:r w:rsidRPr="005A6CF0">
        <w:rPr>
          <w:rFonts w:eastAsia="Times New Roman" w:cs="Tahoma"/>
          <w:bCs/>
          <w:lang w:eastAsia="en-CA"/>
        </w:rPr>
        <w:t xml:space="preserve"> </w:t>
      </w:r>
    </w:p>
    <w:p w:rsidR="000266A2" w:rsidRPr="005A6CF0" w:rsidRDefault="000266A2" w:rsidP="000266A2">
      <w:pPr>
        <w:numPr>
          <w:ilvl w:val="1"/>
          <w:numId w:val="6"/>
        </w:numPr>
        <w:tabs>
          <w:tab w:val="clear" w:pos="1440"/>
          <w:tab w:val="num" w:pos="1030"/>
        </w:tabs>
        <w:ind w:left="1080"/>
        <w:rPr>
          <w:rFonts w:eastAsia="Times New Roman" w:cs="Tahoma"/>
          <w:bCs/>
          <w:lang w:eastAsia="en-CA"/>
        </w:rPr>
      </w:pPr>
      <w:r w:rsidRPr="005A6CF0">
        <w:rPr>
          <w:rFonts w:eastAsia="Times New Roman" w:cs="Tahoma"/>
          <w:bCs/>
          <w:lang w:eastAsia="en-CA"/>
        </w:rPr>
        <w:t xml:space="preserve">Duplexes </w:t>
      </w:r>
      <w:r>
        <w:rPr>
          <w:rFonts w:eastAsia="Times New Roman" w:cs="Tahoma"/>
          <w:bCs/>
          <w:lang w:eastAsia="en-CA"/>
        </w:rPr>
        <w:t>represent 4.4%.</w:t>
      </w:r>
      <w:r w:rsidRPr="005A6CF0">
        <w:rPr>
          <w:rFonts w:eastAsia="Times New Roman" w:cs="Tahoma"/>
          <w:bCs/>
          <w:lang w:eastAsia="en-CA"/>
        </w:rPr>
        <w:t xml:space="preserve"> </w:t>
      </w:r>
    </w:p>
    <w:p w:rsidR="000266A2" w:rsidRDefault="000266A2" w:rsidP="000266A2">
      <w:pPr>
        <w:ind w:left="1080"/>
        <w:rPr>
          <w:rFonts w:eastAsia="Times New Roman" w:cs="Tahoma"/>
          <w:bCs/>
          <w:lang w:eastAsia="en-CA"/>
        </w:rPr>
      </w:pPr>
    </w:p>
    <w:p w:rsidR="000266A2" w:rsidRPr="0054042E" w:rsidRDefault="000266A2" w:rsidP="000266A2">
      <w:pPr>
        <w:pStyle w:val="ListBullet"/>
        <w:numPr>
          <w:ilvl w:val="0"/>
          <w:numId w:val="1"/>
        </w:numPr>
      </w:pPr>
      <w:r>
        <w:t>The rest of the GTHA increased by 96,675 occupied private dwellings since 2011, a growth of 7.3%. The increase by type</w:t>
      </w:r>
      <w:r w:rsidRPr="0054042E">
        <w:t xml:space="preserve"> of structure since 2011</w:t>
      </w:r>
      <w:r>
        <w:t xml:space="preserve"> is</w:t>
      </w:r>
      <w:r w:rsidRPr="0054042E">
        <w:t xml:space="preserve">: </w:t>
      </w:r>
    </w:p>
    <w:p w:rsidR="000266A2" w:rsidRPr="005A6CF0" w:rsidRDefault="000266A2" w:rsidP="000266A2">
      <w:pPr>
        <w:numPr>
          <w:ilvl w:val="1"/>
          <w:numId w:val="6"/>
        </w:numPr>
        <w:tabs>
          <w:tab w:val="clear" w:pos="1440"/>
          <w:tab w:val="num" w:pos="1030"/>
        </w:tabs>
        <w:ind w:left="1080"/>
        <w:rPr>
          <w:rFonts w:eastAsia="Times New Roman" w:cs="Tahoma"/>
          <w:b/>
          <w:bCs/>
          <w:lang w:eastAsia="en-CA"/>
        </w:rPr>
      </w:pPr>
      <w:r w:rsidRPr="005A6CF0">
        <w:rPr>
          <w:rFonts w:eastAsia="Times New Roman" w:cs="Tahoma"/>
          <w:bCs/>
          <w:lang w:eastAsia="en-CA"/>
        </w:rPr>
        <w:t xml:space="preserve">Single and semi-detached houses </w:t>
      </w:r>
      <w:r>
        <w:rPr>
          <w:rFonts w:eastAsia="Times New Roman" w:cs="Tahoma"/>
          <w:bCs/>
          <w:lang w:eastAsia="en-CA"/>
        </w:rPr>
        <w:t>increased</w:t>
      </w:r>
      <w:r w:rsidRPr="005A6CF0">
        <w:rPr>
          <w:rFonts w:eastAsia="Times New Roman" w:cs="Tahoma"/>
          <w:bCs/>
          <w:lang w:eastAsia="en-CA"/>
        </w:rPr>
        <w:t xml:space="preserve"> </w:t>
      </w:r>
      <w:r>
        <w:rPr>
          <w:rFonts w:eastAsia="Times New Roman" w:cs="Tahoma"/>
          <w:bCs/>
          <w:lang w:eastAsia="en-CA"/>
        </w:rPr>
        <w:t xml:space="preserve">by 36,995 </w:t>
      </w:r>
      <w:r w:rsidRPr="005A6CF0">
        <w:rPr>
          <w:rFonts w:eastAsia="Times New Roman" w:cs="Tahoma"/>
          <w:bCs/>
          <w:lang w:eastAsia="en-CA"/>
        </w:rPr>
        <w:t xml:space="preserve"> and </w:t>
      </w:r>
      <w:r>
        <w:rPr>
          <w:rFonts w:eastAsia="Times New Roman" w:cs="Tahoma"/>
          <w:bCs/>
          <w:lang w:eastAsia="en-CA"/>
        </w:rPr>
        <w:t>6,815</w:t>
      </w:r>
      <w:r w:rsidRPr="005A6CF0">
        <w:rPr>
          <w:rFonts w:eastAsia="Times New Roman" w:cs="Tahoma"/>
          <w:bCs/>
          <w:lang w:eastAsia="en-CA"/>
        </w:rPr>
        <w:t xml:space="preserve"> </w:t>
      </w:r>
      <w:r>
        <w:rPr>
          <w:rFonts w:eastAsia="Times New Roman" w:cs="Tahoma"/>
          <w:bCs/>
          <w:lang w:eastAsia="en-CA"/>
        </w:rPr>
        <w:t xml:space="preserve">dwellings </w:t>
      </w:r>
      <w:r w:rsidRPr="005A6CF0">
        <w:rPr>
          <w:rFonts w:eastAsia="Times New Roman" w:cs="Tahoma"/>
          <w:bCs/>
          <w:lang w:eastAsia="en-CA"/>
        </w:rPr>
        <w:t>respectively;</w:t>
      </w:r>
    </w:p>
    <w:p w:rsidR="000266A2" w:rsidRPr="005A6CF0" w:rsidRDefault="000266A2" w:rsidP="000266A2">
      <w:pPr>
        <w:numPr>
          <w:ilvl w:val="1"/>
          <w:numId w:val="6"/>
        </w:numPr>
        <w:tabs>
          <w:tab w:val="clear" w:pos="1440"/>
          <w:tab w:val="num" w:pos="1030"/>
        </w:tabs>
        <w:ind w:left="1080"/>
        <w:rPr>
          <w:rFonts w:eastAsia="Times New Roman" w:cs="Tahoma"/>
          <w:bCs/>
          <w:lang w:eastAsia="en-CA"/>
        </w:rPr>
      </w:pPr>
      <w:r w:rsidRPr="005A6CF0">
        <w:rPr>
          <w:rFonts w:eastAsia="Times New Roman" w:cs="Tahoma"/>
          <w:bCs/>
          <w:lang w:eastAsia="en-CA"/>
        </w:rPr>
        <w:t xml:space="preserve">Row houses increased by </w:t>
      </w:r>
      <w:r>
        <w:rPr>
          <w:rFonts w:eastAsia="Times New Roman" w:cs="Tahoma"/>
          <w:bCs/>
          <w:lang w:eastAsia="en-CA"/>
        </w:rPr>
        <w:t>21,845 dwellings</w:t>
      </w:r>
      <w:r w:rsidRPr="005A6CF0">
        <w:rPr>
          <w:rFonts w:eastAsia="Times New Roman" w:cs="Tahoma"/>
          <w:bCs/>
          <w:lang w:eastAsia="en-CA"/>
        </w:rPr>
        <w:t xml:space="preserve">; </w:t>
      </w:r>
    </w:p>
    <w:p w:rsidR="000266A2" w:rsidRPr="005A6CF0" w:rsidRDefault="000266A2" w:rsidP="000266A2">
      <w:pPr>
        <w:numPr>
          <w:ilvl w:val="1"/>
          <w:numId w:val="6"/>
        </w:numPr>
        <w:tabs>
          <w:tab w:val="clear" w:pos="1440"/>
          <w:tab w:val="num" w:pos="1030"/>
        </w:tabs>
        <w:ind w:left="1080"/>
        <w:rPr>
          <w:rFonts w:eastAsia="Times New Roman" w:cs="Tahoma"/>
          <w:bCs/>
          <w:lang w:eastAsia="en-CA"/>
        </w:rPr>
      </w:pPr>
      <w:r w:rsidRPr="005A6CF0">
        <w:rPr>
          <w:rFonts w:eastAsia="Times New Roman" w:cs="Tahoma"/>
          <w:bCs/>
          <w:lang w:eastAsia="en-CA"/>
        </w:rPr>
        <w:t xml:space="preserve">High-rise apartments increased by </w:t>
      </w:r>
      <w:r>
        <w:rPr>
          <w:rFonts w:eastAsia="Times New Roman" w:cs="Tahoma"/>
          <w:bCs/>
          <w:lang w:eastAsia="en-CA"/>
        </w:rPr>
        <w:t>19,435 dwellings</w:t>
      </w:r>
      <w:r w:rsidRPr="005A6CF0">
        <w:rPr>
          <w:rFonts w:eastAsia="Times New Roman" w:cs="Tahoma"/>
          <w:bCs/>
          <w:lang w:eastAsia="en-CA"/>
        </w:rPr>
        <w:t>;</w:t>
      </w:r>
    </w:p>
    <w:p w:rsidR="000266A2" w:rsidRPr="00521AFD" w:rsidRDefault="000266A2" w:rsidP="000266A2">
      <w:pPr>
        <w:numPr>
          <w:ilvl w:val="1"/>
          <w:numId w:val="6"/>
        </w:numPr>
        <w:tabs>
          <w:tab w:val="clear" w:pos="1440"/>
          <w:tab w:val="num" w:pos="1030"/>
        </w:tabs>
        <w:ind w:left="1080"/>
        <w:rPr>
          <w:rFonts w:eastAsia="Times New Roman" w:cs="Tahoma"/>
          <w:bCs/>
          <w:lang w:eastAsia="en-CA"/>
        </w:rPr>
      </w:pPr>
      <w:r w:rsidRPr="00521AFD">
        <w:rPr>
          <w:rFonts w:eastAsia="Times New Roman" w:cs="Tahoma"/>
          <w:bCs/>
          <w:lang w:eastAsia="en-CA"/>
        </w:rPr>
        <w:t>Low-rise apartments increased by 5,990 dwellings;</w:t>
      </w:r>
    </w:p>
    <w:p w:rsidR="000266A2" w:rsidRPr="00521AFD" w:rsidRDefault="000266A2" w:rsidP="000266A2">
      <w:pPr>
        <w:numPr>
          <w:ilvl w:val="1"/>
          <w:numId w:val="6"/>
        </w:numPr>
        <w:tabs>
          <w:tab w:val="clear" w:pos="1440"/>
          <w:tab w:val="num" w:pos="1030"/>
        </w:tabs>
        <w:ind w:left="1080"/>
        <w:rPr>
          <w:rFonts w:eastAsia="Times New Roman" w:cs="Tahoma"/>
          <w:bCs/>
          <w:lang w:eastAsia="en-CA"/>
        </w:rPr>
      </w:pPr>
      <w:r w:rsidRPr="00521AFD">
        <w:rPr>
          <w:rFonts w:eastAsia="Times New Roman" w:cs="Tahoma"/>
          <w:bCs/>
          <w:lang w:eastAsia="en-CA"/>
        </w:rPr>
        <w:t>Duplexes increased by 5,355 dwellings.</w:t>
      </w:r>
    </w:p>
    <w:p w:rsidR="000266A2" w:rsidRPr="00521AFD" w:rsidRDefault="000266A2" w:rsidP="000266A2">
      <w:pPr>
        <w:rPr>
          <w:rFonts w:eastAsia="Times New Roman" w:cs="Tahoma"/>
          <w:bCs/>
          <w:lang w:eastAsia="en-CA"/>
        </w:rPr>
      </w:pPr>
    </w:p>
    <w:p w:rsidR="000266A2" w:rsidRPr="006A7786" w:rsidRDefault="000266A2" w:rsidP="000266A2">
      <w:pPr>
        <w:pStyle w:val="ListBullet"/>
        <w:numPr>
          <w:ilvl w:val="0"/>
          <w:numId w:val="1"/>
        </w:numPr>
        <w:rPr>
          <w:rFonts w:eastAsia="Times New Roman" w:cs="Tahoma"/>
          <w:b/>
          <w:bCs/>
          <w:lang w:eastAsia="en-CA"/>
        </w:rPr>
      </w:pPr>
      <w:r w:rsidRPr="00521AFD">
        <w:t xml:space="preserve">Map 8 "Concentration of 5+ Storey Apartment Dwellings in the GTHA by Census Tract, 2016" shows the </w:t>
      </w:r>
      <w:r w:rsidR="00447172">
        <w:t xml:space="preserve">percentage distribution of apartment dwellings with 5 or more storeys by Census Tract for the Greater Toronto and Hamilton </w:t>
      </w:r>
      <w:r w:rsidR="009E59E8">
        <w:t>Area</w:t>
      </w:r>
      <w:r w:rsidR="00447172">
        <w:t xml:space="preserve"> using the Census 2016 data</w:t>
      </w:r>
      <w:r w:rsidRPr="00521AFD">
        <w:t xml:space="preserve"> in apartments </w:t>
      </w:r>
      <w:r>
        <w:t xml:space="preserve">in buildings of 5 or more storeys </w:t>
      </w:r>
      <w:r w:rsidRPr="00521AFD">
        <w:t>across the</w:t>
      </w:r>
      <w:r>
        <w:t xml:space="preserve"> GTHA.</w:t>
      </w:r>
    </w:p>
    <w:p w:rsidR="000266A2" w:rsidRPr="000F3CC1" w:rsidRDefault="000266A2" w:rsidP="000F3CC1">
      <w:pPr>
        <w:pStyle w:val="ListBullet"/>
        <w:numPr>
          <w:ilvl w:val="0"/>
          <w:numId w:val="0"/>
        </w:numPr>
        <w:ind w:left="360"/>
        <w:rPr>
          <w:rStyle w:val="Strong"/>
        </w:rPr>
      </w:pPr>
      <w:r w:rsidRPr="000F3CC1">
        <w:rPr>
          <w:rStyle w:val="Strong"/>
        </w:rPr>
        <w:t xml:space="preserve">Growth </w:t>
      </w:r>
    </w:p>
    <w:p w:rsidR="000266A2" w:rsidRDefault="000266A2" w:rsidP="000266A2">
      <w:pPr>
        <w:pStyle w:val="ListBullet"/>
        <w:numPr>
          <w:ilvl w:val="0"/>
          <w:numId w:val="1"/>
        </w:numPr>
      </w:pPr>
      <w:r>
        <w:t>Overall, t</w:t>
      </w:r>
      <w:r w:rsidRPr="002B7E74">
        <w:t>he city’s population is on track with the population forecast in the Provincial Growth Plan for the Greater Golden Horseshoe (GGH</w:t>
      </w:r>
      <w:r>
        <w:t>).</w:t>
      </w:r>
      <w:r w:rsidRPr="002B7E74">
        <w:t>The</w:t>
      </w:r>
      <w:r>
        <w:t xml:space="preserve"> </w:t>
      </w:r>
      <w:r w:rsidRPr="002B7E74">
        <w:t>Growth Plan as amended in 2013 includes population forecasts to 2041 which are used for planning and growth management. The forecasts supporting the Growth Plan anticipated a 2016 population including undercoverage for the city of Toronto of 2,865,000</w:t>
      </w:r>
      <w:r>
        <w:t xml:space="preserve">. </w:t>
      </w:r>
    </w:p>
    <w:p w:rsidR="000266A2" w:rsidRPr="00A30591" w:rsidRDefault="000266A2" w:rsidP="000266A2">
      <w:pPr>
        <w:pStyle w:val="ListBullet"/>
        <w:numPr>
          <w:ilvl w:val="0"/>
          <w:numId w:val="1"/>
        </w:numPr>
      </w:pPr>
      <w:r w:rsidRPr="00A30591">
        <w:t>According to Statistics Canada's latest population estimate release March 8, 2017, the City's population in 2016 is estimated to be 2,876,095.  This represents 6.3% growth over 2011.  This is 11,095 people above the forecasts supporting the Provincial Growth Plan.  Thus Statistics Canada's latest population estimate places City's growth firmly on track with the forecasts supporting the Growth Plan, if not slightly ahead.</w:t>
      </w:r>
    </w:p>
    <w:p w:rsidR="000266A2" w:rsidRDefault="000266A2" w:rsidP="000266A2">
      <w:pPr>
        <w:pStyle w:val="ListBullet"/>
        <w:numPr>
          <w:ilvl w:val="0"/>
          <w:numId w:val="1"/>
        </w:numPr>
      </w:pPr>
      <w:r w:rsidRPr="002B7E74">
        <w:t>There are strong prospects for continued population growth in the city</w:t>
      </w:r>
      <w:r>
        <w:t xml:space="preserve"> of Toronto</w:t>
      </w:r>
      <w:r w:rsidRPr="002B7E74">
        <w:t>.  The City tracks all applications for proposed residential development.  There were 321,200 residential units in active development projects between J</w:t>
      </w:r>
      <w:r>
        <w:t xml:space="preserve">uly 1, 2011 and June 30, 2016. </w:t>
      </w:r>
      <w:r w:rsidRPr="002B7E74">
        <w:t xml:space="preserve">Of these, </w:t>
      </w:r>
      <w:r>
        <w:t>approximately</w:t>
      </w:r>
      <w:r w:rsidRPr="002B7E74">
        <w:t xml:space="preserve"> 127,200 proposed units were approved but not yet built. Most of these </w:t>
      </w:r>
      <w:r>
        <w:t xml:space="preserve">proposed units are apartments. </w:t>
      </w:r>
      <w:r w:rsidRPr="002B7E74">
        <w:t xml:space="preserve">If these </w:t>
      </w:r>
      <w:r>
        <w:t>proposed</w:t>
      </w:r>
      <w:r w:rsidRPr="002B7E74">
        <w:t xml:space="preserve"> units </w:t>
      </w:r>
      <w:r w:rsidRPr="002B7E74">
        <w:lastRenderedPageBreak/>
        <w:t>were occupied at the same rate as apartments in buildings of 5 or more storeys built between 2006 and 2011, they would house about 213,500 persons. These units represent some of the potential for additional population in the near future.</w:t>
      </w:r>
    </w:p>
    <w:p w:rsidR="00AC7767" w:rsidRPr="000749C8" w:rsidRDefault="00AC7767" w:rsidP="000266A2">
      <w:pPr>
        <w:pStyle w:val="Section"/>
      </w:pPr>
      <w:r>
        <w:t>GLOSSARY</w:t>
      </w:r>
    </w:p>
    <w:p w:rsidR="00AC7767" w:rsidRDefault="00AC7767" w:rsidP="00AC7767">
      <w:pPr>
        <w:pStyle w:val="ListBullet"/>
        <w:rPr>
          <w:rFonts w:cs="Arial"/>
          <w:lang w:val="en-GB"/>
        </w:rPr>
      </w:pPr>
      <w:r>
        <w:rPr>
          <w:rFonts w:cs="Arial"/>
          <w:lang w:val="en-GB"/>
        </w:rPr>
        <w:t xml:space="preserve">Statistics Canada maintains a </w:t>
      </w:r>
      <w:hyperlink r:id="rId8" w:history="1">
        <w:r>
          <w:rPr>
            <w:rStyle w:val="Hyperlink"/>
            <w:rFonts w:cs="Arial"/>
            <w:lang w:val="en-GB"/>
          </w:rPr>
          <w:t>C</w:t>
        </w:r>
        <w:r w:rsidRPr="0096213E">
          <w:rPr>
            <w:rStyle w:val="Hyperlink"/>
            <w:rFonts w:cs="Arial"/>
            <w:lang w:val="en-GB"/>
          </w:rPr>
          <w:t xml:space="preserve">ensus </w:t>
        </w:r>
        <w:r>
          <w:rPr>
            <w:rStyle w:val="Hyperlink"/>
            <w:rFonts w:cs="Arial"/>
            <w:lang w:val="en-GB"/>
          </w:rPr>
          <w:t>D</w:t>
        </w:r>
        <w:r w:rsidRPr="0096213E">
          <w:rPr>
            <w:rStyle w:val="Hyperlink"/>
            <w:rFonts w:cs="Arial"/>
            <w:lang w:val="en-GB"/>
          </w:rPr>
          <w:t>ictionary</w:t>
        </w:r>
      </w:hyperlink>
      <w:r>
        <w:rPr>
          <w:rFonts w:cs="Arial"/>
          <w:lang w:val="en-GB"/>
        </w:rPr>
        <w:t xml:space="preserve"> for the Census of Population, 2016, available online at:  </w:t>
      </w:r>
      <w:hyperlink r:id="rId9" w:history="1">
        <w:r w:rsidR="0054180C" w:rsidRPr="002A7A31">
          <w:rPr>
            <w:rStyle w:val="Hyperlink"/>
            <w:rFonts w:cs="Arial"/>
            <w:lang w:val="en-GB"/>
          </w:rPr>
          <w:t>http://www12.statcan.gc.ca/census-recensement/2016/ref/dict/index-eng.cfm</w:t>
        </w:r>
      </w:hyperlink>
      <w:r>
        <w:rPr>
          <w:rFonts w:cs="Arial"/>
          <w:lang w:val="en-GB"/>
        </w:rPr>
        <w:t xml:space="preserve">. Many more terms associated with the Census can be found there.  </w:t>
      </w:r>
    </w:p>
    <w:p w:rsidR="009715D5" w:rsidRPr="009715D5" w:rsidRDefault="009715D5" w:rsidP="009715D5">
      <w:pPr>
        <w:pStyle w:val="ListBullet"/>
        <w:rPr>
          <w:rStyle w:val="Strong"/>
          <w:b w:val="0"/>
        </w:rPr>
      </w:pPr>
      <w:r>
        <w:rPr>
          <w:rStyle w:val="Strong"/>
        </w:rPr>
        <w:t>Age:</w:t>
      </w:r>
      <w:r w:rsidRPr="009715D5">
        <w:t xml:space="preserve"> </w:t>
      </w:r>
      <w:r>
        <w:t>T</w:t>
      </w:r>
      <w:r w:rsidRPr="009715D5">
        <w:rPr>
          <w:rStyle w:val="Strong"/>
          <w:b w:val="0"/>
        </w:rPr>
        <w:t xml:space="preserve">he age </w:t>
      </w:r>
      <w:r>
        <w:rPr>
          <w:rStyle w:val="Strong"/>
          <w:b w:val="0"/>
        </w:rPr>
        <w:t xml:space="preserve">of a person on the day of the Census, </w:t>
      </w:r>
      <w:r w:rsidRPr="009715D5">
        <w:rPr>
          <w:rStyle w:val="Strong"/>
          <w:b w:val="0"/>
        </w:rPr>
        <w:t>May 10, 2016.</w:t>
      </w:r>
    </w:p>
    <w:p w:rsidR="00AC7767" w:rsidRPr="00D31796" w:rsidRDefault="00AC7767" w:rsidP="00AC7767">
      <w:pPr>
        <w:pStyle w:val="ListBullet"/>
        <w:rPr>
          <w:rStyle w:val="Strong"/>
          <w:b w:val="0"/>
        </w:rPr>
      </w:pPr>
      <w:r>
        <w:rPr>
          <w:rStyle w:val="Strong"/>
        </w:rPr>
        <w:t xml:space="preserve">Census Metropolitan Area (CMA): </w:t>
      </w:r>
      <w:r>
        <w:rPr>
          <w:rStyle w:val="BodyChar"/>
        </w:rPr>
        <w:t xml:space="preserve">one or more adjacent municipalities centred on a core population centre. To be included in a CMA, the adjacent municipalities must have </w:t>
      </w:r>
      <w:r w:rsidRPr="00AC4B58">
        <w:rPr>
          <w:rStyle w:val="BodyChar"/>
        </w:rPr>
        <w:t>a high degree of integration with the core</w:t>
      </w:r>
      <w:r>
        <w:rPr>
          <w:rStyle w:val="BodyChar"/>
        </w:rPr>
        <w:t xml:space="preserve">. Integration is </w:t>
      </w:r>
      <w:r w:rsidRPr="00AC4B58">
        <w:rPr>
          <w:rStyle w:val="BodyChar"/>
        </w:rPr>
        <w:t>measured by commuting flows.</w:t>
      </w:r>
    </w:p>
    <w:p w:rsidR="00AC7767" w:rsidRDefault="00AC7767" w:rsidP="00AC7767">
      <w:pPr>
        <w:pStyle w:val="ListBullet"/>
        <w:rPr>
          <w:lang w:val="en-GB"/>
        </w:rPr>
      </w:pPr>
      <w:r w:rsidRPr="0096213E">
        <w:rPr>
          <w:rStyle w:val="Strong"/>
        </w:rPr>
        <w:t>Census Tract</w:t>
      </w:r>
      <w:r>
        <w:rPr>
          <w:rStyle w:val="Strong"/>
        </w:rPr>
        <w:t xml:space="preserve"> (CT):</w:t>
      </w:r>
      <w:r>
        <w:rPr>
          <w:lang w:val="en-GB"/>
        </w:rPr>
        <w:t xml:space="preserve"> a small, geographic area, typically with a population smaller than 10,000 persons. Their geography is relatively stable over time to allow for comparison of changes from Census to Census.</w:t>
      </w:r>
    </w:p>
    <w:p w:rsidR="00AC7767" w:rsidRDefault="00AC7767" w:rsidP="00AC7767">
      <w:pPr>
        <w:pStyle w:val="ListBullet"/>
        <w:rPr>
          <w:lang w:val="en-GB"/>
        </w:rPr>
      </w:pPr>
      <w:r w:rsidRPr="0096213E">
        <w:rPr>
          <w:rStyle w:val="Strong"/>
        </w:rPr>
        <w:t>Centre:</w:t>
      </w:r>
      <w:r>
        <w:rPr>
          <w:lang w:val="en-GB"/>
        </w:rPr>
        <w:t xml:space="preserve"> as seen in </w:t>
      </w:r>
      <w:r w:rsidR="009E59E8">
        <w:rPr>
          <w:lang w:val="en-GB"/>
        </w:rPr>
        <w:t>the</w:t>
      </w:r>
      <w:r w:rsidR="00786A11">
        <w:rPr>
          <w:lang w:val="en-GB"/>
        </w:rPr>
        <w:t xml:space="preserve"> attached Maps</w:t>
      </w:r>
      <w:r>
        <w:rPr>
          <w:lang w:val="en-GB"/>
        </w:rPr>
        <w:t xml:space="preserve">, Centres are defined in the City of Toronto Official Plan. They </w:t>
      </w:r>
      <w:r w:rsidRPr="00010400">
        <w:rPr>
          <w:lang w:val="en-GB"/>
        </w:rPr>
        <w:t xml:space="preserve">play an important role in how </w:t>
      </w:r>
      <w:r>
        <w:rPr>
          <w:lang w:val="en-GB"/>
        </w:rPr>
        <w:t xml:space="preserve">the City </w:t>
      </w:r>
      <w:r w:rsidRPr="00010400">
        <w:rPr>
          <w:lang w:val="en-GB"/>
        </w:rPr>
        <w:t>manage</w:t>
      </w:r>
      <w:r>
        <w:rPr>
          <w:lang w:val="en-GB"/>
        </w:rPr>
        <w:t>s</w:t>
      </w:r>
      <w:r w:rsidRPr="00010400">
        <w:rPr>
          <w:lang w:val="en-GB"/>
        </w:rPr>
        <w:t xml:space="preserve"> growth.</w:t>
      </w:r>
      <w:r>
        <w:rPr>
          <w:lang w:val="en-GB"/>
        </w:rPr>
        <w:t xml:space="preserve"> </w:t>
      </w:r>
      <w:r w:rsidRPr="00010400">
        <w:rPr>
          <w:lang w:val="en-GB"/>
        </w:rPr>
        <w:t>The</w:t>
      </w:r>
      <w:r>
        <w:rPr>
          <w:lang w:val="en-GB"/>
        </w:rPr>
        <w:t xml:space="preserve"> </w:t>
      </w:r>
      <w:r w:rsidRPr="00010400">
        <w:rPr>
          <w:lang w:val="en-GB"/>
        </w:rPr>
        <w:t>Scarborough, North York, Etobicoke and Yonge-Eglinton Centres are</w:t>
      </w:r>
      <w:r>
        <w:rPr>
          <w:lang w:val="en-GB"/>
        </w:rPr>
        <w:t xml:space="preserve"> </w:t>
      </w:r>
      <w:r w:rsidRPr="00010400">
        <w:rPr>
          <w:lang w:val="en-GB"/>
        </w:rPr>
        <w:t>places with excellent transit accessibility where jobs, housing and</w:t>
      </w:r>
      <w:r>
        <w:rPr>
          <w:lang w:val="en-GB"/>
        </w:rPr>
        <w:t xml:space="preserve"> </w:t>
      </w:r>
      <w:r w:rsidRPr="00010400">
        <w:rPr>
          <w:lang w:val="en-GB"/>
        </w:rPr>
        <w:t>services will be concentrated in dynamic mixed use settings with</w:t>
      </w:r>
      <w:r>
        <w:rPr>
          <w:lang w:val="en-GB"/>
        </w:rPr>
        <w:t xml:space="preserve"> </w:t>
      </w:r>
      <w:r w:rsidRPr="00010400">
        <w:rPr>
          <w:lang w:val="en-GB"/>
        </w:rPr>
        <w:t>different levels of activity and intensity.</w:t>
      </w:r>
      <w:r>
        <w:rPr>
          <w:lang w:val="en-GB"/>
        </w:rPr>
        <w:t xml:space="preserve"> More information can be found in the </w:t>
      </w:r>
      <w:hyperlink r:id="rId10" w:history="1">
        <w:r w:rsidRPr="00010400">
          <w:rPr>
            <w:rStyle w:val="Hyperlink"/>
            <w:rFonts w:cs="Arial"/>
            <w:lang w:val="en-GB"/>
          </w:rPr>
          <w:t>Toronto Official Plan</w:t>
        </w:r>
      </w:hyperlink>
      <w:r>
        <w:rPr>
          <w:lang w:val="en-GB"/>
        </w:rPr>
        <w:t>.</w:t>
      </w:r>
    </w:p>
    <w:p w:rsidR="00AC7767" w:rsidRDefault="00AC7767" w:rsidP="00AC7767">
      <w:pPr>
        <w:pStyle w:val="ListBullet"/>
      </w:pPr>
      <w:r>
        <w:rPr>
          <w:rStyle w:val="Strong"/>
        </w:rPr>
        <w:t xml:space="preserve">GTHA </w:t>
      </w:r>
      <w:r w:rsidRPr="00515D72">
        <w:rPr>
          <w:rStyle w:val="Strong"/>
          <w:b w:val="0"/>
        </w:rPr>
        <w:t>refers to the</w:t>
      </w:r>
      <w:r>
        <w:rPr>
          <w:rStyle w:val="Strong"/>
        </w:rPr>
        <w:t xml:space="preserve"> </w:t>
      </w:r>
      <w:r w:rsidRPr="002B2314">
        <w:t>Greater Toronto and Hamilton Area</w:t>
      </w:r>
      <w:r>
        <w:t>. This area</w:t>
      </w:r>
      <w:r w:rsidRPr="002B2314">
        <w:t xml:space="preserve"> is comprised of the single-tier municipalities of Toronto and Hamilton, the regional municipalities of York, Durham, Peel, and Halton, and the cities and towns within the GTHA </w:t>
      </w:r>
      <w:r>
        <w:t>r</w:t>
      </w:r>
      <w:r w:rsidRPr="002B2314">
        <w:t>egion</w:t>
      </w:r>
      <w:r>
        <w:t>al municipalities</w:t>
      </w:r>
      <w:r w:rsidRPr="002B2314">
        <w:t>.</w:t>
      </w:r>
      <w:r>
        <w:t xml:space="preserve"> This is not the same geography as the Toronto Census Metropolitan Area as defined by Statistics Canada.</w:t>
      </w:r>
    </w:p>
    <w:p w:rsidR="00BD3DEC" w:rsidRPr="00BD3DEC" w:rsidRDefault="00BD3DEC" w:rsidP="000C1FD8">
      <w:pPr>
        <w:pStyle w:val="ListBullet"/>
        <w:rPr>
          <w:rStyle w:val="BodyChar"/>
        </w:rPr>
      </w:pPr>
      <w:r>
        <w:rPr>
          <w:b/>
        </w:rPr>
        <w:t xml:space="preserve">Mean: </w:t>
      </w:r>
      <w:r w:rsidRPr="00BD3DEC">
        <w:rPr>
          <w:rStyle w:val="BodyChar"/>
        </w:rPr>
        <w:t>Typically of</w:t>
      </w:r>
      <w:r w:rsidR="008B51D6">
        <w:rPr>
          <w:rStyle w:val="BodyChar"/>
        </w:rPr>
        <w:t xml:space="preserve">ten referred to as the average, the mean is a statistic which is calculated by adding up a series of values and then dividing by the total number of values. For example, the mean age for the city of Toronto is calculated by adding together the ages of </w:t>
      </w:r>
      <w:r w:rsidR="00B059C0">
        <w:rPr>
          <w:rStyle w:val="BodyChar"/>
        </w:rPr>
        <w:t xml:space="preserve">all the </w:t>
      </w:r>
      <w:r w:rsidR="008B51D6">
        <w:rPr>
          <w:rStyle w:val="BodyChar"/>
        </w:rPr>
        <w:t xml:space="preserve">people in Toronto and </w:t>
      </w:r>
      <w:r w:rsidR="00B059C0">
        <w:rPr>
          <w:rStyle w:val="BodyChar"/>
        </w:rPr>
        <w:t xml:space="preserve">then </w:t>
      </w:r>
      <w:r w:rsidR="008B51D6">
        <w:rPr>
          <w:rStyle w:val="BodyChar"/>
        </w:rPr>
        <w:t xml:space="preserve">dividing </w:t>
      </w:r>
      <w:r w:rsidR="00B059C0">
        <w:rPr>
          <w:rStyle w:val="BodyChar"/>
        </w:rPr>
        <w:t xml:space="preserve">that total </w:t>
      </w:r>
      <w:r w:rsidR="008B51D6">
        <w:rPr>
          <w:rStyle w:val="BodyChar"/>
        </w:rPr>
        <w:t xml:space="preserve">by the total number of people in Toronto. </w:t>
      </w:r>
    </w:p>
    <w:p w:rsidR="002752CD" w:rsidRPr="002752CD" w:rsidRDefault="002752CD" w:rsidP="000C1FD8">
      <w:pPr>
        <w:pStyle w:val="ListBullet"/>
        <w:rPr>
          <w:b/>
        </w:rPr>
      </w:pPr>
      <w:r>
        <w:rPr>
          <w:b/>
        </w:rPr>
        <w:t xml:space="preserve">Median: </w:t>
      </w:r>
      <w:r w:rsidRPr="002752CD">
        <w:t xml:space="preserve">A statistic which refers to the mid-point of a distribution. </w:t>
      </w:r>
      <w:r>
        <w:t>For age</w:t>
      </w:r>
      <w:r w:rsidR="000B6FC8">
        <w:t xml:space="preserve"> distribution, the median age </w:t>
      </w:r>
      <w:r>
        <w:t>would be the age for which exactly one half of the population is older and the other half is younger.</w:t>
      </w:r>
      <w:r w:rsidR="001C0F4D">
        <w:t xml:space="preserve"> While included </w:t>
      </w:r>
      <w:r w:rsidR="00262BFD">
        <w:t>in previous Census profiles, the median age was not reported in this initial data release from Statistics Canada</w:t>
      </w:r>
      <w:r w:rsidR="00262BFD" w:rsidRPr="00262BFD">
        <w:rPr>
          <w:b/>
        </w:rPr>
        <w:t>.</w:t>
      </w:r>
    </w:p>
    <w:p w:rsidR="00AC7767" w:rsidRPr="007E23E0" w:rsidRDefault="00AC7767" w:rsidP="00AC7767">
      <w:pPr>
        <w:pStyle w:val="ListBullet"/>
      </w:pPr>
      <w:r>
        <w:rPr>
          <w:b/>
        </w:rPr>
        <w:t xml:space="preserve">Neighbourhood: </w:t>
      </w:r>
      <w:r>
        <w:t xml:space="preserve">The City of Toronto identifies 140 social planning neighbourhoods </w:t>
      </w:r>
      <w:r w:rsidRPr="007E23E0">
        <w:t>to help government and community agencies with their local planning</w:t>
      </w:r>
      <w:r>
        <w:t xml:space="preserve">. These neighbourhoods allow the </w:t>
      </w:r>
      <w:r w:rsidRPr="007E23E0">
        <w:t>provi</w:t>
      </w:r>
      <w:r>
        <w:t>s</w:t>
      </w:r>
      <w:r w:rsidRPr="007E23E0">
        <w:t>i</w:t>
      </w:r>
      <w:r>
        <w:t>o</w:t>
      </w:r>
      <w:r w:rsidRPr="007E23E0">
        <w:t>n</w:t>
      </w:r>
      <w:r>
        <w:t xml:space="preserve"> of</w:t>
      </w:r>
      <w:r w:rsidRPr="007E23E0">
        <w:t xml:space="preserve"> socio-economic data at a meaningful geographic area. Not all people define neighbourhoods the same way, but for the purposes of statistical reporting these neighbourhoods were defined based on </w:t>
      </w:r>
      <w:r w:rsidRPr="007E23E0">
        <w:lastRenderedPageBreak/>
        <w:t>Statistics Canada census tracts.</w:t>
      </w:r>
      <w:r>
        <w:t xml:space="preserve"> More information about </w:t>
      </w:r>
      <w:hyperlink r:id="rId11" w:history="1">
        <w:r w:rsidRPr="008B604E">
          <w:rPr>
            <w:rStyle w:val="Hyperlink"/>
            <w:rFonts w:cs="Arial"/>
          </w:rPr>
          <w:t>City of Toronto neighbourhoods</w:t>
        </w:r>
      </w:hyperlink>
      <w:r>
        <w:t xml:space="preserve"> can be found on the City's website.  </w:t>
      </w:r>
    </w:p>
    <w:p w:rsidR="00160B4A" w:rsidRDefault="00160B4A" w:rsidP="00246DE4">
      <w:pPr>
        <w:pStyle w:val="ListBullet"/>
      </w:pPr>
      <w:r>
        <w:rPr>
          <w:b/>
        </w:rPr>
        <w:t xml:space="preserve">Sex: </w:t>
      </w:r>
      <w:r w:rsidRPr="00160B4A">
        <w:t>Refers to whether the person is male or female</w:t>
      </w:r>
      <w:r w:rsidR="00513334">
        <w:t xml:space="preserve">. Statistics Canada notes that for "the </w:t>
      </w:r>
      <w:r w:rsidR="00513334" w:rsidRPr="00513334">
        <w:t xml:space="preserve">2016 Census of Population, transgender, transsexual and intersex Canadians were asked to indicate the sex (male or female) with which they most associated themselves. Respondents who could not select one category when completing </w:t>
      </w:r>
      <w:r w:rsidR="00513334">
        <w:t>[this question] o</w:t>
      </w:r>
      <w:r w:rsidR="00513334" w:rsidRPr="00513334">
        <w:t>n their census questionnaire had the option of leaving the question blank and indicating in the Comments section, the reason(s) for which they had chosen to leave this question unanswered.</w:t>
      </w:r>
      <w:r w:rsidR="00513334">
        <w:t>"</w:t>
      </w:r>
      <w:r w:rsidR="009715D5">
        <w:t xml:space="preserve"> (link and more info: </w:t>
      </w:r>
      <w:hyperlink r:id="rId12" w:anchor="a2_1" w:history="1">
        <w:r w:rsidR="00246DE4" w:rsidRPr="00D41985">
          <w:rPr>
            <w:rStyle w:val="Hyperlink"/>
          </w:rPr>
          <w:t>http://www12.statcan.gc.ca/census-recensement/2016/ref/98-501/98-501-x2016002-eng.cfm#a2_1</w:t>
        </w:r>
      </w:hyperlink>
      <w:r w:rsidR="00246DE4">
        <w:t>)</w:t>
      </w:r>
    </w:p>
    <w:p w:rsidR="00AC7767" w:rsidRDefault="00AC7767" w:rsidP="00AC7767">
      <w:pPr>
        <w:pStyle w:val="ListBullet"/>
      </w:pPr>
      <w:r w:rsidRPr="00337DCC">
        <w:rPr>
          <w:b/>
        </w:rPr>
        <w:t>Undercoverage</w:t>
      </w:r>
      <w:r>
        <w:t xml:space="preserve">:  is the number of persons excluded by the Census who should have been counted, as determined by Statistics Canada. </w:t>
      </w:r>
      <w:r w:rsidRPr="00337DCC">
        <w:t>Although Statistics Canada makes a great effort to count every person, in each Census a notable number of people are left</w:t>
      </w:r>
      <w:r>
        <w:t xml:space="preserve"> out for a variety of reasons. </w:t>
      </w:r>
      <w:r w:rsidRPr="00337DCC">
        <w:t>For example, people may be traveling, some dwellings are hard to find, and some people simply refuse to participate.</w:t>
      </w:r>
      <w:r w:rsidRPr="00EF3506">
        <w:t xml:space="preserve">  Overcoverage can also occur, when people are counted more than once or should not have been </w:t>
      </w:r>
      <w:r>
        <w:t xml:space="preserve">counted in a given population. </w:t>
      </w:r>
      <w:r w:rsidRPr="00EF3506">
        <w:t xml:space="preserve">Undercoverage is generally </w:t>
      </w:r>
      <w:r>
        <w:t>more common than overcoverage. The total impact of the coverage errors is the net undercoverage.</w:t>
      </w:r>
    </w:p>
    <w:p w:rsidR="006A7786" w:rsidRPr="00C369C1" w:rsidRDefault="006A7786" w:rsidP="006A7786">
      <w:pPr>
        <w:pStyle w:val="ListBullet"/>
      </w:pPr>
      <w:r>
        <w:rPr>
          <w:b/>
        </w:rPr>
        <w:t>Private dwelling occupied by usual residents</w:t>
      </w:r>
      <w:r w:rsidRPr="00C369C1">
        <w:t>:</w:t>
      </w:r>
      <w:r>
        <w:t xml:space="preserve"> r</w:t>
      </w:r>
      <w:r>
        <w:rPr>
          <w:shd w:val="clear" w:color="auto" w:fill="F9F9F9"/>
        </w:rPr>
        <w:t>efers to a private dwelling in which a person or a group of persons is permanently residing. Also included are private dwellings whose usual residents are temporarily absent on May 10, 2016. Unless otherwise specified, all data in housing products are for private dwellings occupied by usual residents, rather than for unoccupied private dwellings or dwellings occupied solely by foreign and/or by temporarily present persons.</w:t>
      </w:r>
    </w:p>
    <w:p w:rsidR="006A7786" w:rsidRDefault="006A7786" w:rsidP="006A7786">
      <w:pPr>
        <w:pStyle w:val="ListBullet"/>
      </w:pPr>
      <w:r w:rsidRPr="00C369C1">
        <w:rPr>
          <w:b/>
        </w:rPr>
        <w:t>Single-detached house</w:t>
      </w:r>
      <w:r>
        <w:rPr>
          <w:b/>
        </w:rPr>
        <w:t xml:space="preserve">: </w:t>
      </w:r>
      <w:r>
        <w:t>A single dwelling not attached to any other dwelling or structure (except its own garage or shed). A single-detached house has open space on all sides, and has no dwellings either above it or below it. A mobile home fixed permanently to a foundation is also classified as a single-detached house.</w:t>
      </w:r>
    </w:p>
    <w:p w:rsidR="006A7786" w:rsidRDefault="006A7786" w:rsidP="006A7786">
      <w:pPr>
        <w:pStyle w:val="ListBullet"/>
      </w:pPr>
      <w:r w:rsidRPr="00C369C1">
        <w:rPr>
          <w:b/>
        </w:rPr>
        <w:t>Semi-detached house</w:t>
      </w:r>
      <w:r>
        <w:rPr>
          <w:b/>
        </w:rPr>
        <w:t xml:space="preserve">: </w:t>
      </w:r>
      <w:r>
        <w:t>One of two dwellings attached side by side (or back to back) to each other, but not attached to any other dwelling or structure (except its own garage or shed). A semi-detached dwelling has no dwellings either above it or below it, and the two units together have open space on all sides.</w:t>
      </w:r>
    </w:p>
    <w:p w:rsidR="006A7786" w:rsidRPr="00C369C1" w:rsidRDefault="006A7786" w:rsidP="006A7786">
      <w:pPr>
        <w:pStyle w:val="ListBullet"/>
      </w:pPr>
      <w:r w:rsidRPr="00C369C1">
        <w:rPr>
          <w:b/>
        </w:rPr>
        <w:t>Row house</w:t>
      </w:r>
      <w:r w:rsidRPr="00C369C1">
        <w:t>: One of three or more dwellings joined side by side (or occasionally side to back), such as a townhouse or garden home, but not having any other dwellings either above or below. Townhouses attached to a high-rise building are also classified as row houses.</w:t>
      </w:r>
    </w:p>
    <w:p w:rsidR="006A7786" w:rsidRDefault="006A7786" w:rsidP="006A7786">
      <w:pPr>
        <w:pStyle w:val="ListBullet"/>
      </w:pPr>
      <w:r w:rsidRPr="00BF19F8">
        <w:rPr>
          <w:b/>
        </w:rPr>
        <w:t>Apartment or flat in a duplex</w:t>
      </w:r>
      <w:r w:rsidRPr="00C369C1">
        <w:t>:</w:t>
      </w:r>
      <w:r w:rsidRPr="00BF19F8">
        <w:rPr>
          <w:b/>
        </w:rPr>
        <w:t xml:space="preserve"> </w:t>
      </w:r>
      <w:r>
        <w:t>One of two dwellings, located one above the other, may or may not be attached to other dwellings or buildings.</w:t>
      </w:r>
    </w:p>
    <w:p w:rsidR="006A7786" w:rsidRDefault="006A7786" w:rsidP="006A7786">
      <w:pPr>
        <w:pStyle w:val="ListBullet"/>
      </w:pPr>
      <w:r w:rsidRPr="00C369C1">
        <w:rPr>
          <w:b/>
        </w:rPr>
        <w:t>Apartment in a building that has five or more storeys</w:t>
      </w:r>
      <w:r>
        <w:rPr>
          <w:b/>
        </w:rPr>
        <w:t xml:space="preserve">: </w:t>
      </w:r>
      <w:r>
        <w:t>A dwelling unit in a high-rise apartment building which has five or more storeys.</w:t>
      </w:r>
    </w:p>
    <w:p w:rsidR="006A7786" w:rsidRDefault="006A7786" w:rsidP="006A7786">
      <w:pPr>
        <w:pStyle w:val="Body"/>
      </w:pPr>
    </w:p>
    <w:p w:rsidR="006A7786" w:rsidRDefault="006A7786" w:rsidP="006A7786">
      <w:pPr>
        <w:pStyle w:val="ListBullet"/>
      </w:pPr>
      <w:r w:rsidRPr="00C369C1">
        <w:rPr>
          <w:b/>
        </w:rPr>
        <w:lastRenderedPageBreak/>
        <w:t>Apartment in a building that has fewer than five storeys</w:t>
      </w:r>
      <w:r>
        <w:rPr>
          <w:b/>
        </w:rPr>
        <w:t xml:space="preserve">: </w:t>
      </w:r>
      <w:r>
        <w:t>A dwelling unit attached to other dwelling units, commercial units, or other non-residential space in a building that has fewer than five storeys.</w:t>
      </w:r>
    </w:p>
    <w:p w:rsidR="006A7786" w:rsidRDefault="006A7786" w:rsidP="006A7786">
      <w:pPr>
        <w:pStyle w:val="ListBullet"/>
      </w:pPr>
      <w:r w:rsidRPr="00C369C1">
        <w:rPr>
          <w:b/>
        </w:rPr>
        <w:t>Other single-attached house</w:t>
      </w:r>
      <w:r>
        <w:rPr>
          <w:b/>
        </w:rPr>
        <w:t xml:space="preserve">: </w:t>
      </w:r>
      <w:r>
        <w:t>A single dwelling that is attached to another building and that does not fall into any of the other categories, such as a single dwelling attached to a non-residential structure (e.g., a store or a church) or occasionally to another residential structure (e.g., an apartment building).</w:t>
      </w:r>
    </w:p>
    <w:p w:rsidR="006A7786" w:rsidRDefault="006A7786" w:rsidP="006A7786">
      <w:pPr>
        <w:pStyle w:val="ListBullet"/>
      </w:pPr>
      <w:r w:rsidRPr="00C369C1">
        <w:rPr>
          <w:b/>
        </w:rPr>
        <w:t>Mobile home</w:t>
      </w:r>
      <w:r>
        <w:rPr>
          <w:b/>
        </w:rPr>
        <w:t xml:space="preserve">: </w:t>
      </w:r>
      <w:r>
        <w:t>A single dwelling, designed and constructed to be transported on its own chassis and capable of being moved to a new location on short notice. It may be placed temporarily on a foundation pad and may be covered by a skirt.</w:t>
      </w:r>
    </w:p>
    <w:p w:rsidR="006A7786" w:rsidRPr="00C369C1" w:rsidRDefault="006A7786" w:rsidP="006A7786">
      <w:pPr>
        <w:pStyle w:val="ListBullet"/>
        <w:rPr>
          <w:b/>
        </w:rPr>
      </w:pPr>
      <w:r w:rsidRPr="00C369C1">
        <w:rPr>
          <w:b/>
        </w:rPr>
        <w:t>Other movable dwelling</w:t>
      </w:r>
      <w:r>
        <w:rPr>
          <w:b/>
        </w:rPr>
        <w:t xml:space="preserve">: </w:t>
      </w:r>
      <w:r>
        <w:t>A single dwelling, other than a mobile home, used as a place of residence, but capable of being moved on short notice, such as a tent, recreational vehicle, travel trailer, houseboat or floating home.</w:t>
      </w:r>
    </w:p>
    <w:p w:rsidR="006A7786" w:rsidRPr="00C369C1" w:rsidRDefault="006A7786" w:rsidP="006A7786">
      <w:pPr>
        <w:pStyle w:val="ListBullet"/>
        <w:rPr>
          <w:b/>
        </w:rPr>
      </w:pPr>
      <w:r>
        <w:rPr>
          <w:b/>
        </w:rPr>
        <w:t xml:space="preserve">Size of </w:t>
      </w:r>
      <w:r w:rsidR="000F3CC1">
        <w:rPr>
          <w:b/>
        </w:rPr>
        <w:t>h</w:t>
      </w:r>
      <w:r>
        <w:rPr>
          <w:b/>
        </w:rPr>
        <w:t>ousehold:</w:t>
      </w:r>
      <w:r w:rsidRPr="00C369C1">
        <w:rPr>
          <w:rFonts w:ascii="Helvetica" w:hAnsi="Helvetica" w:cs="Helvetica"/>
          <w:color w:val="333333"/>
          <w:shd w:val="clear" w:color="auto" w:fill="F9F9F9"/>
        </w:rPr>
        <w:t xml:space="preserve"> </w:t>
      </w:r>
      <w:r w:rsidRPr="00C369C1">
        <w:t>refers to the number of persons residing in private households. Collective households and households outside Canada are not included</w:t>
      </w:r>
      <w:r>
        <w:t>.</w:t>
      </w:r>
    </w:p>
    <w:p w:rsidR="002473CF" w:rsidRDefault="005D17DB" w:rsidP="005D17DB">
      <w:pPr>
        <w:pStyle w:val="Section"/>
      </w:pPr>
      <w:r>
        <w:t>Notes</w:t>
      </w:r>
    </w:p>
    <w:p w:rsidR="001B7666" w:rsidRDefault="001B7666" w:rsidP="001B7666">
      <w:pPr>
        <w:pStyle w:val="Body"/>
      </w:pPr>
      <w:r w:rsidRPr="00C701C9">
        <w:t xml:space="preserve">All data in this backgrounder </w:t>
      </w:r>
      <w:r>
        <w:t>are</w:t>
      </w:r>
      <w:r w:rsidRPr="00C701C9">
        <w:t xml:space="preserve"> based on geographic boundaries available at time of writing. In the event of any future boundary revisions, some data totals may c</w:t>
      </w:r>
      <w:r w:rsidRPr="00CD6DEF">
        <w:t xml:space="preserve">hange. This is especially the case for small area units such as </w:t>
      </w:r>
      <w:r>
        <w:t>C</w:t>
      </w:r>
      <w:r w:rsidRPr="00CD6DEF">
        <w:t xml:space="preserve">ensus </w:t>
      </w:r>
      <w:r>
        <w:t>T</w:t>
      </w:r>
      <w:r w:rsidRPr="00CD6DEF">
        <w:t>racts.</w:t>
      </w:r>
    </w:p>
    <w:p w:rsidR="001B7666" w:rsidRDefault="001B7666" w:rsidP="001B7666">
      <w:pPr>
        <w:pStyle w:val="Body"/>
        <w:rPr>
          <w:rFonts w:cs="Arial"/>
        </w:rPr>
      </w:pPr>
    </w:p>
    <w:p w:rsidR="00903276" w:rsidRPr="00903276" w:rsidRDefault="001B7666" w:rsidP="001B7666">
      <w:pPr>
        <w:pStyle w:val="Body"/>
        <w:rPr>
          <w:rFonts w:cs="Arial"/>
        </w:rPr>
      </w:pPr>
      <w:r w:rsidRPr="00043300">
        <w:rPr>
          <w:rFonts w:cs="Arial"/>
        </w:rPr>
        <w:t>The information previou</w:t>
      </w:r>
      <w:r>
        <w:rPr>
          <w:rFonts w:cs="Arial"/>
        </w:rPr>
        <w:t>sly collected by the long-form C</w:t>
      </w:r>
      <w:r w:rsidRPr="00043300">
        <w:rPr>
          <w:rFonts w:cs="Arial"/>
        </w:rPr>
        <w:t>ensus questionnaire was collected in 2011 as part of the voluntary National Household Survey.</w:t>
      </w:r>
      <w:r>
        <w:rPr>
          <w:rFonts w:cs="Arial"/>
        </w:rPr>
        <w:t xml:space="preserve"> </w:t>
      </w:r>
      <w:r w:rsidRPr="00043300">
        <w:rPr>
          <w:rFonts w:cs="Arial"/>
        </w:rPr>
        <w:t xml:space="preserve">In 2016, Statistics Canada </w:t>
      </w:r>
      <w:r w:rsidRPr="00421BD2">
        <w:rPr>
          <w:rFonts w:cs="Arial"/>
        </w:rPr>
        <w:t xml:space="preserve">restored the mandatory long-form Census questionnaire in an effort to improve data collection. </w:t>
      </w:r>
      <w:r w:rsidR="00784828">
        <w:rPr>
          <w:rFonts w:cs="Arial"/>
        </w:rPr>
        <w:t>The</w:t>
      </w:r>
      <w:r w:rsidR="00075B17" w:rsidRPr="00421BD2">
        <w:rPr>
          <w:rFonts w:cs="Arial"/>
        </w:rPr>
        <w:t xml:space="preserve"> data</w:t>
      </w:r>
      <w:r w:rsidRPr="00421BD2">
        <w:rPr>
          <w:rFonts w:cs="Arial"/>
        </w:rPr>
        <w:t xml:space="preserve"> reported in this backgrounder are based on the mandatory short-form component of the Census for both 2011 and 2016</w:t>
      </w:r>
      <w:r w:rsidRPr="00043300">
        <w:rPr>
          <w:rFonts w:cs="Arial"/>
        </w:rPr>
        <w:t>, a</w:t>
      </w:r>
      <w:r w:rsidR="00DA617D">
        <w:rPr>
          <w:rFonts w:cs="Arial"/>
        </w:rPr>
        <w:t>nd therefore can be compared.</w:t>
      </w:r>
    </w:p>
    <w:p w:rsidR="00903276" w:rsidRPr="00903276" w:rsidRDefault="00903276" w:rsidP="00903276">
      <w:pPr>
        <w:pStyle w:val="Section"/>
      </w:pPr>
      <w:r w:rsidRPr="00903276">
        <w:t>WARD PROFILES AND NEIGHBOURHOOD PROFILES</w:t>
      </w:r>
    </w:p>
    <w:p w:rsidR="00903276" w:rsidRDefault="00903276" w:rsidP="00903276">
      <w:pPr>
        <w:pStyle w:val="Body"/>
      </w:pPr>
      <w:r w:rsidRPr="004D0AF5">
        <w:t>Ward Profiles are based on a series of custom tabulations from the Census</w:t>
      </w:r>
      <w:r>
        <w:t>.</w:t>
      </w:r>
      <w:r w:rsidRPr="004D0AF5">
        <w:t>  City Planning staff will update the Ward Profiles when Statistics Canada can provide the necessary custom tabulations based on 20</w:t>
      </w:r>
      <w:r>
        <w:t>16</w:t>
      </w:r>
      <w:r w:rsidRPr="004D0AF5">
        <w:t xml:space="preserve"> data, beginning in late </w:t>
      </w:r>
      <w:r>
        <w:t xml:space="preserve">2017.  The current Ward Profiles can be found at:   </w:t>
      </w:r>
      <w:hyperlink r:id="rId13" w:history="1">
        <w:r w:rsidRPr="00DF138F">
          <w:rPr>
            <w:rStyle w:val="Hyperlink"/>
          </w:rPr>
          <w:t>http://app.toronto.ca/wards/jsp/wards.jsp</w:t>
        </w:r>
      </w:hyperlink>
    </w:p>
    <w:p w:rsidR="00903276" w:rsidRDefault="00903276" w:rsidP="00903276">
      <w:pPr>
        <w:pStyle w:val="Body"/>
      </w:pPr>
    </w:p>
    <w:p w:rsidR="00903276" w:rsidRPr="00B61A24" w:rsidRDefault="00903276" w:rsidP="00903276">
      <w:pPr>
        <w:pStyle w:val="Body"/>
        <w:rPr>
          <w:rFonts w:cs="Arial"/>
        </w:rPr>
      </w:pPr>
      <w:r>
        <w:t xml:space="preserve">Neighbourhood Profiles are being redesigned to better respond to the information needs of </w:t>
      </w:r>
      <w:r w:rsidR="000353D1">
        <w:t>the community</w:t>
      </w:r>
      <w:r>
        <w:t>.</w:t>
      </w:r>
      <w:r w:rsidR="000353D1">
        <w:t xml:space="preserve"> New profiles are anticipated to be available in late 2017.</w:t>
      </w:r>
      <w:r>
        <w:t xml:space="preserve"> </w:t>
      </w:r>
      <w:r w:rsidR="000353D1">
        <w:t xml:space="preserve">In the meantime, 2016 Census data will be made available via the Wellbeing online mapping application, available at: </w:t>
      </w:r>
      <w:hyperlink r:id="rId14" w:history="1">
        <w:r w:rsidR="000353D1" w:rsidRPr="00E447F2">
          <w:rPr>
            <w:rStyle w:val="Hyperlink"/>
          </w:rPr>
          <w:t>http://www.toronto.ca/wellbeing</w:t>
        </w:r>
      </w:hyperlink>
      <w:r w:rsidR="000353D1">
        <w:t xml:space="preserve">. </w:t>
      </w:r>
      <w:r>
        <w:t>The current Neighbourh</w:t>
      </w:r>
      <w:r w:rsidR="000353D1">
        <w:t xml:space="preserve">ood Profiles can be found at:  </w:t>
      </w:r>
      <w:hyperlink r:id="rId15" w:history="1">
        <w:r w:rsidR="000353D1" w:rsidRPr="00E447F2">
          <w:rPr>
            <w:rStyle w:val="Hyperlink"/>
            <w:rFonts w:cs="Arial"/>
          </w:rPr>
          <w:t>http://www.toronto.ca/demographics/neighbourhoods.htm</w:t>
        </w:r>
      </w:hyperlink>
      <w:r w:rsidR="00D83B7F">
        <w:rPr>
          <w:rFonts w:cs="Arial"/>
        </w:rPr>
        <w:t>.</w:t>
      </w:r>
    </w:p>
    <w:p w:rsidR="000F3CC1" w:rsidRDefault="000F3CC1">
      <w:pPr>
        <w:spacing w:after="160" w:line="259" w:lineRule="auto"/>
        <w:rPr>
          <w:b/>
          <w:caps/>
          <w:sz w:val="26"/>
        </w:rPr>
      </w:pPr>
      <w:r>
        <w:br w:type="page"/>
      </w:r>
    </w:p>
    <w:p w:rsidR="005D17DB" w:rsidRPr="000749C8" w:rsidRDefault="005D17DB" w:rsidP="005D17DB">
      <w:pPr>
        <w:pStyle w:val="Section"/>
      </w:pPr>
      <w:r>
        <w:lastRenderedPageBreak/>
        <w:t>FUTURE CENSUS RELEASES</w:t>
      </w:r>
    </w:p>
    <w:p w:rsidR="005D17DB" w:rsidRDefault="005D17DB" w:rsidP="005D17DB">
      <w:pPr>
        <w:pStyle w:val="Body"/>
      </w:pPr>
      <w:r>
        <w:t xml:space="preserve">The City of Toronto will be releasing more backgrounders coinciding with each Census release, except for the Census of Agriculture. The Census release schedule is available from Statistics Canada, online at:  </w:t>
      </w:r>
      <w:hyperlink r:id="rId16" w:history="1">
        <w:r w:rsidRPr="00BB6DAB">
          <w:rPr>
            <w:rStyle w:val="Hyperlink"/>
          </w:rPr>
          <w:t>https://www12.statcan.gc.ca/census-recensement/</w:t>
        </w:r>
        <w:r w:rsidRPr="00BB6DAB">
          <w:rPr>
            <w:rStyle w:val="Hyperlink"/>
          </w:rPr>
          <w:br/>
          <w:t>index-eng.cfm</w:t>
        </w:r>
      </w:hyperlink>
      <w:r>
        <w:t>. The City of Toronto will be preparing backgrounders for the following releases:</w:t>
      </w:r>
    </w:p>
    <w:p w:rsidR="005D17DB" w:rsidRDefault="005D17DB" w:rsidP="005D17DB">
      <w:pPr>
        <w:pStyle w:val="Body"/>
      </w:pPr>
    </w:p>
    <w:tbl>
      <w:tblPr>
        <w:tblW w:w="7424" w:type="dxa"/>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top w:w="15" w:type="dxa"/>
          <w:left w:w="15" w:type="dxa"/>
          <w:bottom w:w="15" w:type="dxa"/>
          <w:right w:w="15" w:type="dxa"/>
        </w:tblCellMar>
        <w:tblLook w:val="04A0" w:firstRow="1" w:lastRow="0" w:firstColumn="1" w:lastColumn="0" w:noHBand="0" w:noVBand="1"/>
      </w:tblPr>
      <w:tblGrid>
        <w:gridCol w:w="2692"/>
        <w:gridCol w:w="4732"/>
      </w:tblGrid>
      <w:tr w:rsidR="005D17DB" w:rsidRPr="00A5625E" w:rsidTr="000C1FD8">
        <w:trPr>
          <w:jc w:val="center"/>
        </w:trPr>
        <w:tc>
          <w:tcPr>
            <w:tcW w:w="2692" w:type="dxa"/>
            <w:shd w:val="clear" w:color="auto" w:fill="auto"/>
            <w:tcMar>
              <w:top w:w="120" w:type="dxa"/>
              <w:left w:w="120" w:type="dxa"/>
              <w:bottom w:w="120" w:type="dxa"/>
              <w:right w:w="120" w:type="dxa"/>
            </w:tcMar>
            <w:hideMark/>
          </w:tcPr>
          <w:p w:rsidR="005D17DB" w:rsidRPr="00A5625E" w:rsidRDefault="005D17DB" w:rsidP="000C1FD8">
            <w:pPr>
              <w:pStyle w:val="Body"/>
              <w:rPr>
                <w:lang w:eastAsia="en-CA"/>
              </w:rPr>
            </w:pPr>
            <w:r w:rsidRPr="00A5625E">
              <w:rPr>
                <w:lang w:eastAsia="en-CA"/>
              </w:rPr>
              <w:t>August 2, 2017</w:t>
            </w:r>
          </w:p>
        </w:tc>
        <w:tc>
          <w:tcPr>
            <w:tcW w:w="4732" w:type="dxa"/>
            <w:shd w:val="clear" w:color="auto" w:fill="auto"/>
            <w:tcMar>
              <w:top w:w="120" w:type="dxa"/>
              <w:left w:w="120" w:type="dxa"/>
              <w:bottom w:w="120" w:type="dxa"/>
              <w:right w:w="120" w:type="dxa"/>
            </w:tcMar>
            <w:hideMark/>
          </w:tcPr>
          <w:p w:rsidR="005D17DB" w:rsidRPr="00A5625E" w:rsidRDefault="005D17DB" w:rsidP="000C1FD8">
            <w:pPr>
              <w:pStyle w:val="Body"/>
              <w:rPr>
                <w:lang w:eastAsia="en-CA"/>
              </w:rPr>
            </w:pPr>
            <w:r w:rsidRPr="00A5625E">
              <w:rPr>
                <w:lang w:eastAsia="en-CA"/>
              </w:rPr>
              <w:t>Families, households and marital status</w:t>
            </w:r>
          </w:p>
          <w:p w:rsidR="005D17DB" w:rsidRPr="00A5625E" w:rsidRDefault="005D17DB" w:rsidP="000C1FD8">
            <w:pPr>
              <w:pStyle w:val="Body"/>
              <w:rPr>
                <w:lang w:eastAsia="en-CA"/>
              </w:rPr>
            </w:pPr>
            <w:r w:rsidRPr="00A5625E">
              <w:rPr>
                <w:lang w:eastAsia="en-CA"/>
              </w:rPr>
              <w:t>Language</w:t>
            </w:r>
          </w:p>
        </w:tc>
      </w:tr>
      <w:tr w:rsidR="005D17DB" w:rsidRPr="00A5625E" w:rsidTr="000C1FD8">
        <w:trPr>
          <w:jc w:val="center"/>
        </w:trPr>
        <w:tc>
          <w:tcPr>
            <w:tcW w:w="2692" w:type="dxa"/>
            <w:shd w:val="clear" w:color="auto" w:fill="auto"/>
            <w:tcMar>
              <w:top w:w="120" w:type="dxa"/>
              <w:left w:w="120" w:type="dxa"/>
              <w:bottom w:w="120" w:type="dxa"/>
              <w:right w:w="120" w:type="dxa"/>
            </w:tcMar>
            <w:hideMark/>
          </w:tcPr>
          <w:p w:rsidR="005D17DB" w:rsidRPr="00A5625E" w:rsidRDefault="005D17DB" w:rsidP="000C1FD8">
            <w:pPr>
              <w:pStyle w:val="Body"/>
              <w:rPr>
                <w:lang w:eastAsia="en-CA"/>
              </w:rPr>
            </w:pPr>
            <w:r w:rsidRPr="00A5625E">
              <w:rPr>
                <w:lang w:eastAsia="en-CA"/>
              </w:rPr>
              <w:t>September 13, 2017</w:t>
            </w:r>
          </w:p>
        </w:tc>
        <w:tc>
          <w:tcPr>
            <w:tcW w:w="4732" w:type="dxa"/>
            <w:shd w:val="clear" w:color="auto" w:fill="auto"/>
            <w:tcMar>
              <w:top w:w="120" w:type="dxa"/>
              <w:left w:w="120" w:type="dxa"/>
              <w:bottom w:w="120" w:type="dxa"/>
              <w:right w:w="120" w:type="dxa"/>
            </w:tcMar>
            <w:hideMark/>
          </w:tcPr>
          <w:p w:rsidR="005D17DB" w:rsidRPr="00A5625E" w:rsidRDefault="005D17DB" w:rsidP="000C1FD8">
            <w:pPr>
              <w:pStyle w:val="Body"/>
              <w:rPr>
                <w:lang w:eastAsia="en-CA"/>
              </w:rPr>
            </w:pPr>
            <w:r w:rsidRPr="00A5625E">
              <w:rPr>
                <w:lang w:eastAsia="en-CA"/>
              </w:rPr>
              <w:t>Income</w:t>
            </w:r>
          </w:p>
        </w:tc>
      </w:tr>
      <w:tr w:rsidR="005D17DB" w:rsidRPr="00A5625E" w:rsidTr="000C1FD8">
        <w:trPr>
          <w:trHeight w:val="837"/>
          <w:jc w:val="center"/>
        </w:trPr>
        <w:tc>
          <w:tcPr>
            <w:tcW w:w="2692" w:type="dxa"/>
            <w:shd w:val="clear" w:color="auto" w:fill="auto"/>
            <w:tcMar>
              <w:top w:w="120" w:type="dxa"/>
              <w:left w:w="120" w:type="dxa"/>
              <w:bottom w:w="120" w:type="dxa"/>
              <w:right w:w="120" w:type="dxa"/>
            </w:tcMar>
            <w:hideMark/>
          </w:tcPr>
          <w:p w:rsidR="005D17DB" w:rsidRPr="00A5625E" w:rsidRDefault="005D17DB" w:rsidP="000C1FD8">
            <w:pPr>
              <w:pStyle w:val="Body"/>
              <w:rPr>
                <w:lang w:eastAsia="en-CA"/>
              </w:rPr>
            </w:pPr>
            <w:r w:rsidRPr="00A5625E">
              <w:rPr>
                <w:lang w:eastAsia="en-CA"/>
              </w:rPr>
              <w:t>October 25, 2017</w:t>
            </w:r>
          </w:p>
        </w:tc>
        <w:tc>
          <w:tcPr>
            <w:tcW w:w="4732" w:type="dxa"/>
            <w:shd w:val="clear" w:color="auto" w:fill="auto"/>
            <w:tcMar>
              <w:top w:w="120" w:type="dxa"/>
              <w:left w:w="120" w:type="dxa"/>
              <w:bottom w:w="120" w:type="dxa"/>
              <w:right w:w="120" w:type="dxa"/>
            </w:tcMar>
            <w:hideMark/>
          </w:tcPr>
          <w:p w:rsidR="005D17DB" w:rsidRPr="00A5625E" w:rsidRDefault="005D17DB" w:rsidP="000C1FD8">
            <w:pPr>
              <w:pStyle w:val="Body"/>
              <w:rPr>
                <w:lang w:eastAsia="en-CA"/>
              </w:rPr>
            </w:pPr>
            <w:r w:rsidRPr="00A5625E">
              <w:rPr>
                <w:lang w:eastAsia="en-CA"/>
              </w:rPr>
              <w:t>Immigration and ethnocultural diversity</w:t>
            </w:r>
          </w:p>
          <w:p w:rsidR="005D17DB" w:rsidRPr="00A5625E" w:rsidRDefault="005D17DB" w:rsidP="000C1FD8">
            <w:pPr>
              <w:pStyle w:val="Body"/>
              <w:rPr>
                <w:lang w:eastAsia="en-CA"/>
              </w:rPr>
            </w:pPr>
            <w:r w:rsidRPr="00A5625E">
              <w:rPr>
                <w:lang w:eastAsia="en-CA"/>
              </w:rPr>
              <w:t>Housing</w:t>
            </w:r>
          </w:p>
          <w:p w:rsidR="005D17DB" w:rsidRPr="00A5625E" w:rsidRDefault="005D17DB" w:rsidP="000C1FD8">
            <w:pPr>
              <w:pStyle w:val="Body"/>
              <w:rPr>
                <w:lang w:eastAsia="en-CA"/>
              </w:rPr>
            </w:pPr>
            <w:r w:rsidRPr="00A5625E">
              <w:rPr>
                <w:lang w:eastAsia="en-CA"/>
              </w:rPr>
              <w:t>Aboriginal peoples</w:t>
            </w:r>
          </w:p>
        </w:tc>
      </w:tr>
      <w:tr w:rsidR="005D17DB" w:rsidRPr="00A5625E" w:rsidTr="000C1FD8">
        <w:trPr>
          <w:trHeight w:val="1197"/>
          <w:jc w:val="center"/>
        </w:trPr>
        <w:tc>
          <w:tcPr>
            <w:tcW w:w="2692" w:type="dxa"/>
            <w:shd w:val="clear" w:color="auto" w:fill="auto"/>
            <w:tcMar>
              <w:top w:w="120" w:type="dxa"/>
              <w:left w:w="120" w:type="dxa"/>
              <w:bottom w:w="120" w:type="dxa"/>
              <w:right w:w="120" w:type="dxa"/>
            </w:tcMar>
            <w:hideMark/>
          </w:tcPr>
          <w:p w:rsidR="005D17DB" w:rsidRPr="00A5625E" w:rsidRDefault="005D17DB" w:rsidP="000C1FD8">
            <w:pPr>
              <w:pStyle w:val="Body"/>
              <w:rPr>
                <w:lang w:eastAsia="en-CA"/>
              </w:rPr>
            </w:pPr>
            <w:r w:rsidRPr="00A5625E">
              <w:rPr>
                <w:lang w:eastAsia="en-CA"/>
              </w:rPr>
              <w:t>November 29, 2017</w:t>
            </w:r>
          </w:p>
        </w:tc>
        <w:tc>
          <w:tcPr>
            <w:tcW w:w="4732" w:type="dxa"/>
            <w:shd w:val="clear" w:color="auto" w:fill="auto"/>
            <w:tcMar>
              <w:top w:w="120" w:type="dxa"/>
              <w:left w:w="120" w:type="dxa"/>
              <w:bottom w:w="120" w:type="dxa"/>
              <w:right w:w="120" w:type="dxa"/>
            </w:tcMar>
            <w:hideMark/>
          </w:tcPr>
          <w:p w:rsidR="005D17DB" w:rsidRPr="00A5625E" w:rsidRDefault="005D17DB" w:rsidP="000C1FD8">
            <w:pPr>
              <w:pStyle w:val="Body"/>
              <w:rPr>
                <w:lang w:eastAsia="en-CA"/>
              </w:rPr>
            </w:pPr>
            <w:r w:rsidRPr="00A5625E">
              <w:rPr>
                <w:lang w:eastAsia="en-CA"/>
              </w:rPr>
              <w:t>Education</w:t>
            </w:r>
          </w:p>
          <w:p w:rsidR="005D17DB" w:rsidRPr="00A5625E" w:rsidRDefault="005D17DB" w:rsidP="000C1FD8">
            <w:pPr>
              <w:pStyle w:val="Body"/>
              <w:rPr>
                <w:lang w:eastAsia="en-CA"/>
              </w:rPr>
            </w:pPr>
            <w:r w:rsidRPr="00A5625E">
              <w:rPr>
                <w:lang w:eastAsia="en-CA"/>
              </w:rPr>
              <w:t>Labour</w:t>
            </w:r>
          </w:p>
          <w:p w:rsidR="005D17DB" w:rsidRPr="00A5625E" w:rsidRDefault="005D17DB" w:rsidP="000C1FD8">
            <w:pPr>
              <w:pStyle w:val="Body"/>
              <w:rPr>
                <w:lang w:eastAsia="en-CA"/>
              </w:rPr>
            </w:pPr>
            <w:r w:rsidRPr="00A5625E">
              <w:rPr>
                <w:lang w:eastAsia="en-CA"/>
              </w:rPr>
              <w:t>Journey to work</w:t>
            </w:r>
          </w:p>
          <w:p w:rsidR="005D17DB" w:rsidRPr="00A5625E" w:rsidRDefault="005D17DB" w:rsidP="000C1FD8">
            <w:pPr>
              <w:pStyle w:val="Body"/>
              <w:rPr>
                <w:lang w:eastAsia="en-CA"/>
              </w:rPr>
            </w:pPr>
            <w:r w:rsidRPr="00A5625E">
              <w:rPr>
                <w:lang w:eastAsia="en-CA"/>
              </w:rPr>
              <w:t>Language of work</w:t>
            </w:r>
          </w:p>
          <w:p w:rsidR="005D17DB" w:rsidRPr="00A5625E" w:rsidRDefault="005D17DB" w:rsidP="000C1FD8">
            <w:pPr>
              <w:pStyle w:val="Body"/>
              <w:rPr>
                <w:lang w:eastAsia="en-CA"/>
              </w:rPr>
            </w:pPr>
            <w:r w:rsidRPr="00A5625E">
              <w:rPr>
                <w:lang w:eastAsia="en-CA"/>
              </w:rPr>
              <w:t>Mobility and migration</w:t>
            </w:r>
          </w:p>
        </w:tc>
      </w:tr>
    </w:tbl>
    <w:p w:rsidR="005D17DB" w:rsidRPr="000749C8" w:rsidRDefault="005D17DB" w:rsidP="005D17DB">
      <w:pPr>
        <w:pStyle w:val="Section"/>
      </w:pPr>
      <w:r>
        <w:t>REFERENCES</w:t>
      </w:r>
    </w:p>
    <w:p w:rsidR="005D17DB" w:rsidRDefault="005D17DB" w:rsidP="005D17DB">
      <w:pPr>
        <w:pStyle w:val="Heading10"/>
        <w:spacing w:before="120"/>
      </w:pPr>
      <w:r>
        <w:t xml:space="preserve">Prepared by staff from:  </w:t>
      </w:r>
      <w:r>
        <w:tab/>
      </w:r>
    </w:p>
    <w:p w:rsidR="005D17DB" w:rsidRPr="001019B5" w:rsidRDefault="005D17DB" w:rsidP="005D17DB">
      <w:pPr>
        <w:numPr>
          <w:ilvl w:val="0"/>
          <w:numId w:val="5"/>
        </w:numPr>
        <w:rPr>
          <w:rFonts w:cs="Arial"/>
          <w:lang w:eastAsia="en-CA"/>
        </w:rPr>
      </w:pPr>
      <w:r w:rsidRPr="001019B5">
        <w:rPr>
          <w:rFonts w:cs="Arial"/>
          <w:lang w:eastAsia="en-CA"/>
        </w:rPr>
        <w:t>Children's Services, Service System Planning and Policy Development</w:t>
      </w:r>
    </w:p>
    <w:p w:rsidR="005D17DB" w:rsidRPr="001019B5" w:rsidRDefault="005D17DB" w:rsidP="005D17DB">
      <w:pPr>
        <w:numPr>
          <w:ilvl w:val="0"/>
          <w:numId w:val="5"/>
        </w:numPr>
        <w:rPr>
          <w:rFonts w:cs="Arial"/>
          <w:lang w:val="en-GB"/>
        </w:rPr>
      </w:pPr>
      <w:r w:rsidRPr="001019B5">
        <w:rPr>
          <w:rFonts w:cs="Arial"/>
          <w:lang w:val="en-GB"/>
        </w:rPr>
        <w:t>City Planning, Research and Information</w:t>
      </w:r>
    </w:p>
    <w:p w:rsidR="005D17DB" w:rsidRPr="001019B5" w:rsidRDefault="005D17DB" w:rsidP="005D17DB">
      <w:pPr>
        <w:numPr>
          <w:ilvl w:val="0"/>
          <w:numId w:val="5"/>
        </w:numPr>
        <w:rPr>
          <w:rFonts w:cs="Arial"/>
          <w:lang w:val="en-GB"/>
        </w:rPr>
      </w:pPr>
      <w:r w:rsidRPr="001019B5">
        <w:rPr>
          <w:rFonts w:cs="Arial"/>
          <w:lang w:val="en-GB"/>
        </w:rPr>
        <w:t>Economic Development, Research and Information Systems</w:t>
      </w:r>
    </w:p>
    <w:p w:rsidR="005D17DB" w:rsidRPr="001019B5" w:rsidRDefault="005D17DB" w:rsidP="005D17DB">
      <w:pPr>
        <w:numPr>
          <w:ilvl w:val="0"/>
          <w:numId w:val="5"/>
        </w:numPr>
        <w:rPr>
          <w:rFonts w:cs="Arial"/>
          <w:lang w:val="en-GB"/>
        </w:rPr>
      </w:pPr>
      <w:r w:rsidRPr="001019B5">
        <w:rPr>
          <w:rFonts w:cs="Arial"/>
          <w:lang w:val="en-GB"/>
        </w:rPr>
        <w:t xml:space="preserve">Social Development, Finance and Administration, </w:t>
      </w:r>
      <w:r w:rsidRPr="001019B5">
        <w:rPr>
          <w:rFonts w:cs="Arial"/>
          <w:lang w:val="en-GB"/>
        </w:rPr>
        <w:br/>
        <w:t>Social Policy Analysis and Research</w:t>
      </w:r>
    </w:p>
    <w:p w:rsidR="001019B5" w:rsidRPr="00421BD2" w:rsidRDefault="001019B5" w:rsidP="005D17DB">
      <w:pPr>
        <w:numPr>
          <w:ilvl w:val="0"/>
          <w:numId w:val="5"/>
        </w:numPr>
        <w:rPr>
          <w:rFonts w:cs="Arial"/>
          <w:lang w:val="en-GB"/>
        </w:rPr>
      </w:pPr>
      <w:r>
        <w:rPr>
          <w:rFonts w:cs="Arial"/>
          <w:lang w:val="en-GB"/>
        </w:rPr>
        <w:t>Toronto Public Health, Surveillance and Epidemiology</w:t>
      </w:r>
    </w:p>
    <w:p w:rsidR="005D17DB" w:rsidRPr="00D24F7D" w:rsidRDefault="005D17DB" w:rsidP="005D17DB">
      <w:pPr>
        <w:pStyle w:val="Heading10"/>
        <w:spacing w:before="240"/>
        <w:rPr>
          <w:sz w:val="24"/>
        </w:rPr>
      </w:pPr>
      <w:r w:rsidRPr="00D24F7D">
        <w:rPr>
          <w:sz w:val="24"/>
        </w:rPr>
        <w:t xml:space="preserve">Media contact: </w:t>
      </w:r>
      <w:r w:rsidRPr="00D24F7D">
        <w:rPr>
          <w:b w:val="0"/>
          <w:sz w:val="24"/>
        </w:rPr>
        <w:t xml:space="preserve">Bruce Hawkins, Strategic Communications, 416-392-3496, </w:t>
      </w:r>
      <w:hyperlink r:id="rId17" w:history="1">
        <w:r w:rsidRPr="00D24F7D">
          <w:rPr>
            <w:rStyle w:val="Hyperlink"/>
            <w:b w:val="0"/>
          </w:rPr>
          <w:t>bruce.hawkins@toronto.ca</w:t>
        </w:r>
      </w:hyperlink>
      <w:r w:rsidRPr="00D24F7D">
        <w:rPr>
          <w:sz w:val="24"/>
        </w:rPr>
        <w:t xml:space="preserve"> </w:t>
      </w:r>
    </w:p>
    <w:p w:rsidR="006A7786" w:rsidRPr="006043A6" w:rsidRDefault="005D17DB" w:rsidP="006A7786">
      <w:pPr>
        <w:pStyle w:val="Body"/>
        <w:spacing w:before="240"/>
      </w:pPr>
      <w:r w:rsidRPr="00D24F7D">
        <w:rPr>
          <w:b/>
        </w:rPr>
        <w:t>Staff contact</w:t>
      </w:r>
      <w:r w:rsidR="00845B32" w:rsidRPr="00D24F7D">
        <w:rPr>
          <w:b/>
        </w:rPr>
        <w:t>, Type of dwelling data</w:t>
      </w:r>
      <w:r w:rsidRPr="00D24F7D">
        <w:rPr>
          <w:b/>
        </w:rPr>
        <w:t>:</w:t>
      </w:r>
      <w:r w:rsidRPr="00D24F7D">
        <w:t xml:space="preserve">  </w:t>
      </w:r>
      <w:r w:rsidR="006A7786" w:rsidRPr="00D86F63">
        <w:t>Michael Wright, City Planning, Research and Information</w:t>
      </w:r>
      <w:r w:rsidR="006A7786" w:rsidRPr="00D86F63">
        <w:br/>
        <w:t xml:space="preserve">Tel: 416-392-7558; Fax. 416-392-3821; TTY: 416-392-8764 </w:t>
      </w:r>
      <w:r w:rsidR="006A7786" w:rsidRPr="00D86F63">
        <w:br/>
      </w:r>
      <w:r w:rsidR="006A7786">
        <w:rPr>
          <w:rStyle w:val="Hyperlink"/>
        </w:rPr>
        <w:t>M</w:t>
      </w:r>
      <w:r w:rsidR="006A7786" w:rsidRPr="00D86F63">
        <w:rPr>
          <w:rStyle w:val="Hyperlink"/>
        </w:rPr>
        <w:t>ichael.</w:t>
      </w:r>
      <w:r w:rsidR="006A7786">
        <w:rPr>
          <w:rStyle w:val="Hyperlink"/>
        </w:rPr>
        <w:t>W</w:t>
      </w:r>
      <w:r w:rsidR="006A7786" w:rsidRPr="00D86F63">
        <w:rPr>
          <w:rStyle w:val="Hyperlink"/>
        </w:rPr>
        <w:t>right@toronto.ca</w:t>
      </w:r>
    </w:p>
    <w:p w:rsidR="00845B32" w:rsidRPr="006043A6" w:rsidRDefault="00845B32" w:rsidP="00845B32">
      <w:pPr>
        <w:pStyle w:val="Body"/>
        <w:spacing w:before="240"/>
      </w:pPr>
      <w:r w:rsidRPr="00D24F7D">
        <w:rPr>
          <w:b/>
        </w:rPr>
        <w:t>Staff contact, Age and sex data:</w:t>
      </w:r>
      <w:r w:rsidRPr="00D24F7D">
        <w:t xml:space="preserve">  </w:t>
      </w:r>
      <w:r w:rsidR="007B2D4C">
        <w:t>Harvey Low</w:t>
      </w:r>
      <w:r w:rsidRPr="00D24F7D">
        <w:t>, Social Development, Finance &amp; Administration, Social Research and Information Management</w:t>
      </w:r>
      <w:r w:rsidRPr="00D24F7D">
        <w:br/>
        <w:t>Tel: 416-392-</w:t>
      </w:r>
      <w:r w:rsidR="00DA1A6F">
        <w:t>8660</w:t>
      </w:r>
      <w:r w:rsidRPr="00D24F7D">
        <w:t>; Fax</w:t>
      </w:r>
      <w:r w:rsidR="00D24F7D" w:rsidRPr="00D24F7D">
        <w:t>:</w:t>
      </w:r>
      <w:r w:rsidRPr="00D24F7D">
        <w:t xml:space="preserve"> 416-392-</w:t>
      </w:r>
      <w:r w:rsidR="00D24F7D" w:rsidRPr="00D24F7D">
        <w:t>4976</w:t>
      </w:r>
      <w:r w:rsidRPr="00D24F7D">
        <w:t xml:space="preserve"> </w:t>
      </w:r>
      <w:r w:rsidRPr="00D24F7D">
        <w:br/>
      </w:r>
      <w:r w:rsidR="00DA1A6F">
        <w:rPr>
          <w:rStyle w:val="Hyperlink"/>
        </w:rPr>
        <w:t>harvey.low</w:t>
      </w:r>
      <w:r w:rsidRPr="00D24F7D">
        <w:rPr>
          <w:rStyle w:val="Hyperlink"/>
        </w:rPr>
        <w:t>@toronto.ca</w:t>
      </w:r>
    </w:p>
    <w:p w:rsidR="00845B32" w:rsidRPr="006043A6" w:rsidRDefault="00845B32" w:rsidP="005D17DB">
      <w:pPr>
        <w:pStyle w:val="Body"/>
        <w:spacing w:before="240"/>
      </w:pPr>
    </w:p>
    <w:p w:rsidR="00E605FA" w:rsidRDefault="00E605FA">
      <w:pPr>
        <w:spacing w:after="160" w:line="259" w:lineRule="auto"/>
        <w:rPr>
          <w:b/>
          <w:caps/>
          <w:sz w:val="26"/>
        </w:rPr>
      </w:pPr>
      <w:r>
        <w:br w:type="page"/>
      </w:r>
    </w:p>
    <w:p w:rsidR="00D81C29" w:rsidRDefault="001A6C79" w:rsidP="001A6C79">
      <w:pPr>
        <w:pStyle w:val="Section"/>
      </w:pPr>
      <w:r>
        <w:lastRenderedPageBreak/>
        <w:t>Tables</w:t>
      </w:r>
      <w:r w:rsidR="005D17DB">
        <w:t>,</w:t>
      </w:r>
      <w:r>
        <w:t xml:space="preserve"> Charts</w:t>
      </w:r>
      <w:r w:rsidR="005D17DB">
        <w:t xml:space="preserve"> and Maps</w:t>
      </w:r>
    </w:p>
    <w:p w:rsidR="00B80796" w:rsidRDefault="00B80796" w:rsidP="00B80796">
      <w:pPr>
        <w:pStyle w:val="Caption"/>
        <w:keepNext/>
      </w:pPr>
      <w:r>
        <w:t xml:space="preserve">Figure </w:t>
      </w:r>
      <w:r w:rsidR="00575D0C">
        <w:fldChar w:fldCharType="begin"/>
      </w:r>
      <w:r w:rsidR="00D83B7F">
        <w:instrText xml:space="preserve"> SEQ Figure \* ARABIC </w:instrText>
      </w:r>
      <w:r w:rsidR="00575D0C">
        <w:fldChar w:fldCharType="separate"/>
      </w:r>
      <w:r w:rsidR="00F937E4">
        <w:rPr>
          <w:noProof/>
        </w:rPr>
        <w:t>1</w:t>
      </w:r>
      <w:r w:rsidR="00575D0C">
        <w:rPr>
          <w:noProof/>
        </w:rPr>
        <w:fldChar w:fldCharType="end"/>
      </w:r>
      <w:r>
        <w:t xml:space="preserve">: </w:t>
      </w:r>
      <w:r w:rsidRPr="005911AA">
        <w:t>Age and Sex Population Pyramid</w:t>
      </w:r>
      <w:r w:rsidR="00622C3F">
        <w:t>, c</w:t>
      </w:r>
      <w:r w:rsidR="001019B5">
        <w:t xml:space="preserve">ity of </w:t>
      </w:r>
      <w:r w:rsidR="001019B5" w:rsidRPr="005911AA">
        <w:t>Toronto</w:t>
      </w:r>
      <w:r w:rsidR="001019B5">
        <w:t>,</w:t>
      </w:r>
      <w:r w:rsidRPr="005911AA">
        <w:t xml:space="preserve"> 2001-2016</w:t>
      </w:r>
    </w:p>
    <w:p w:rsidR="00D81C29" w:rsidRDefault="00D216B3" w:rsidP="00D81C29">
      <w:pPr>
        <w:pStyle w:val="Body"/>
      </w:pPr>
      <w:r>
        <w:rPr>
          <w:noProof/>
          <w:lang w:eastAsia="en-CA"/>
        </w:rPr>
        <w:drawing>
          <wp:inline distT="0" distB="0" distL="0" distR="0">
            <wp:extent cx="5943600" cy="7199576"/>
            <wp:effectExtent l="0" t="0" r="0" b="0"/>
            <wp:docPr id="2" name="Picture 2" descr="This chart depicts a population pyramid of the population of the City of Toronto for the years 2001, 2006, 2011, and 2016. It displays the total population for males and females in Toronto by five year age groups, ranging from 0-4 up to 95-99, with a top category of all people aged 100 and 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ronto Age and Sex Population Pyramids 2001-2016 with legend V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199576"/>
                    </a:xfrm>
                    <a:prstGeom prst="rect">
                      <a:avLst/>
                    </a:prstGeom>
                  </pic:spPr>
                </pic:pic>
              </a:graphicData>
            </a:graphic>
          </wp:inline>
        </w:drawing>
      </w:r>
    </w:p>
    <w:p w:rsidR="00D81C29" w:rsidRDefault="00D81C29" w:rsidP="00D81C29">
      <w:pPr>
        <w:pStyle w:val="Body"/>
      </w:pPr>
    </w:p>
    <w:p w:rsidR="00E605FA" w:rsidRDefault="00E605FA" w:rsidP="00D81C29">
      <w:pPr>
        <w:pStyle w:val="Body"/>
      </w:pPr>
    </w:p>
    <w:p w:rsidR="00E605FA" w:rsidRDefault="00E605FA" w:rsidP="00D81C29">
      <w:pPr>
        <w:pStyle w:val="Body"/>
      </w:pPr>
    </w:p>
    <w:p w:rsidR="00E605FA" w:rsidRDefault="00E605FA" w:rsidP="00D81C29">
      <w:pPr>
        <w:pStyle w:val="Body"/>
      </w:pPr>
    </w:p>
    <w:p w:rsidR="00627E7C" w:rsidRDefault="00627E7C" w:rsidP="00D81C29">
      <w:pPr>
        <w:pStyle w:val="Body"/>
      </w:pPr>
    </w:p>
    <w:p w:rsidR="00495328" w:rsidRDefault="00495328" w:rsidP="00495328">
      <w:pPr>
        <w:pStyle w:val="Caption"/>
        <w:keepNext/>
      </w:pPr>
      <w:r>
        <w:lastRenderedPageBreak/>
        <w:t xml:space="preserve">Figure </w:t>
      </w:r>
      <w:r w:rsidR="00575D0C">
        <w:fldChar w:fldCharType="begin"/>
      </w:r>
      <w:r w:rsidR="00D83B7F">
        <w:instrText xml:space="preserve"> SEQ Figure \* ARABIC </w:instrText>
      </w:r>
      <w:r w:rsidR="00575D0C">
        <w:fldChar w:fldCharType="separate"/>
      </w:r>
      <w:r w:rsidR="00F937E4">
        <w:rPr>
          <w:noProof/>
        </w:rPr>
        <w:t>2</w:t>
      </w:r>
      <w:r w:rsidR="00575D0C">
        <w:rPr>
          <w:noProof/>
        </w:rPr>
        <w:fldChar w:fldCharType="end"/>
      </w:r>
      <w:r>
        <w:t>: Population Change</w:t>
      </w:r>
      <w:r w:rsidR="00622C3F">
        <w:t xml:space="preserve"> (total) by 5-year Age Groups, c</w:t>
      </w:r>
      <w:r>
        <w:t>ity of Toronto (2011-2016)</w:t>
      </w:r>
    </w:p>
    <w:p w:rsidR="00627E7C" w:rsidRDefault="00495328" w:rsidP="00D81C29">
      <w:pPr>
        <w:pStyle w:val="Body"/>
      </w:pPr>
      <w:r>
        <w:rPr>
          <w:noProof/>
          <w:lang w:eastAsia="en-CA"/>
        </w:rPr>
        <w:drawing>
          <wp:inline distT="0" distB="0" distL="0" distR="0">
            <wp:extent cx="6153912" cy="3739896"/>
            <wp:effectExtent l="0" t="0" r="0" b="0"/>
            <wp:docPr id="1" name="Picture 1" descr="This chart depicts the change in total population, grouped into 5-year age groups, from 2011 to 2016 in the City of Toronto. The largest drops were seen in the 45 to 49 and 40 to 44 age groups. The largest single increase was in the 65-69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3912" cy="3739896"/>
                    </a:xfrm>
                    <a:prstGeom prst="rect">
                      <a:avLst/>
                    </a:prstGeom>
                    <a:noFill/>
                  </pic:spPr>
                </pic:pic>
              </a:graphicData>
            </a:graphic>
          </wp:inline>
        </w:drawing>
      </w:r>
    </w:p>
    <w:p w:rsidR="00B80796" w:rsidRDefault="00B80796" w:rsidP="00D81C29">
      <w:pPr>
        <w:pStyle w:val="Body"/>
      </w:pPr>
    </w:p>
    <w:p w:rsidR="008771B7" w:rsidRDefault="008771B7" w:rsidP="008771B7">
      <w:pPr>
        <w:pStyle w:val="Caption"/>
        <w:keepNext/>
      </w:pPr>
      <w:r>
        <w:t xml:space="preserve">Figure </w:t>
      </w:r>
      <w:r w:rsidR="00575D0C">
        <w:fldChar w:fldCharType="begin"/>
      </w:r>
      <w:r w:rsidR="00D83B7F">
        <w:instrText xml:space="preserve"> SEQ Figure \* ARABIC </w:instrText>
      </w:r>
      <w:r w:rsidR="00575D0C">
        <w:fldChar w:fldCharType="separate"/>
      </w:r>
      <w:r w:rsidR="00F937E4">
        <w:rPr>
          <w:noProof/>
        </w:rPr>
        <w:t>3</w:t>
      </w:r>
      <w:r w:rsidR="00575D0C">
        <w:rPr>
          <w:noProof/>
        </w:rPr>
        <w:fldChar w:fldCharType="end"/>
      </w:r>
      <w:r>
        <w:t xml:space="preserve">: </w:t>
      </w:r>
      <w:r w:rsidRPr="00A7671F">
        <w:t xml:space="preserve">Population Change (%) by 5-year Age Groups, </w:t>
      </w:r>
      <w:r w:rsidR="00622C3F">
        <w:t>c</w:t>
      </w:r>
      <w:r w:rsidRPr="00A7671F">
        <w:t>ity of Toronto (2011-2016)</w:t>
      </w:r>
    </w:p>
    <w:p w:rsidR="00B80796" w:rsidRDefault="008771B7" w:rsidP="00D81C29">
      <w:pPr>
        <w:pStyle w:val="Body"/>
      </w:pPr>
      <w:r>
        <w:rPr>
          <w:noProof/>
          <w:lang w:eastAsia="en-CA"/>
        </w:rPr>
        <w:drawing>
          <wp:inline distT="0" distB="0" distL="0" distR="0">
            <wp:extent cx="6135624" cy="3739896"/>
            <wp:effectExtent l="0" t="0" r="0" b="0"/>
            <wp:docPr id="12" name="Picture 12" descr="This chart depicts the percent change in population, grouped by 5-year age groups, from 2011 to 2016 in the City of Toronto. The largest drops were seen in the 45 to 49 and 40 to 44 age groups. The largest single increases were seen in the age groups over the age of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35624" cy="3739896"/>
                    </a:xfrm>
                    <a:prstGeom prst="rect">
                      <a:avLst/>
                    </a:prstGeom>
                    <a:noFill/>
                  </pic:spPr>
                </pic:pic>
              </a:graphicData>
            </a:graphic>
          </wp:inline>
        </w:drawing>
      </w:r>
    </w:p>
    <w:p w:rsidR="00FF4A36" w:rsidRDefault="00FF4A36" w:rsidP="00D81C29">
      <w:pPr>
        <w:pStyle w:val="Body"/>
      </w:pPr>
    </w:p>
    <w:p w:rsidR="00E4648C" w:rsidRDefault="00E4648C" w:rsidP="00D81C29">
      <w:pPr>
        <w:pStyle w:val="Body"/>
      </w:pPr>
    </w:p>
    <w:p w:rsidR="00F90213" w:rsidRDefault="00F90213" w:rsidP="00F90213">
      <w:pPr>
        <w:pStyle w:val="Caption"/>
        <w:keepNext/>
      </w:pPr>
      <w:r>
        <w:lastRenderedPageBreak/>
        <w:t xml:space="preserve">Figure </w:t>
      </w:r>
      <w:r w:rsidR="00575D0C">
        <w:fldChar w:fldCharType="begin"/>
      </w:r>
      <w:r w:rsidR="005F01E1">
        <w:instrText xml:space="preserve"> SEQ Figure \* ARABIC </w:instrText>
      </w:r>
      <w:r w:rsidR="00575D0C">
        <w:fldChar w:fldCharType="separate"/>
      </w:r>
      <w:r w:rsidR="00F937E4">
        <w:rPr>
          <w:noProof/>
        </w:rPr>
        <w:t>4</w:t>
      </w:r>
      <w:r w:rsidR="00575D0C">
        <w:rPr>
          <w:noProof/>
        </w:rPr>
        <w:fldChar w:fldCharType="end"/>
      </w:r>
      <w:r>
        <w:t xml:space="preserve">: </w:t>
      </w:r>
      <w:r w:rsidRPr="00B9332F">
        <w:t>Percentage of population in selected Age Groups, city of Toronto (2001-2016)</w:t>
      </w:r>
    </w:p>
    <w:p w:rsidR="005C153A" w:rsidRDefault="00F90213">
      <w:pPr>
        <w:spacing w:after="160" w:line="259" w:lineRule="auto"/>
      </w:pPr>
      <w:r>
        <w:rPr>
          <w:noProof/>
          <w:lang w:eastAsia="en-CA"/>
        </w:rPr>
        <w:drawing>
          <wp:inline distT="0" distB="0" distL="0" distR="0">
            <wp:extent cx="5752407" cy="4195522"/>
            <wp:effectExtent l="0" t="0" r="1270" b="0"/>
            <wp:docPr id="6" name="Picture 6" descr="This chart depicts the percentage of the city of Toronto's population which falls into one of ten selected age group categories over the course of the last 4 census years , 2001, 2006, 2011 and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9182" cy="4207757"/>
                    </a:xfrm>
                    <a:prstGeom prst="rect">
                      <a:avLst/>
                    </a:prstGeom>
                    <a:noFill/>
                  </pic:spPr>
                </pic:pic>
              </a:graphicData>
            </a:graphic>
          </wp:inline>
        </w:drawing>
      </w:r>
    </w:p>
    <w:p w:rsidR="00275E4C" w:rsidRDefault="00275E4C">
      <w:pPr>
        <w:spacing w:after="160" w:line="259" w:lineRule="auto"/>
        <w:rPr>
          <w:iCs/>
          <w:szCs w:val="18"/>
        </w:rPr>
      </w:pPr>
      <w:r>
        <w:br w:type="page"/>
      </w:r>
    </w:p>
    <w:p w:rsidR="000B5A47" w:rsidRPr="000B5A47" w:rsidRDefault="000B5A47" w:rsidP="00D3271A">
      <w:pPr>
        <w:pStyle w:val="Caption"/>
        <w:keepNext/>
      </w:pPr>
      <w:r>
        <w:lastRenderedPageBreak/>
        <w:t xml:space="preserve">Table </w:t>
      </w:r>
      <w:r w:rsidR="00575D0C">
        <w:fldChar w:fldCharType="begin"/>
      </w:r>
      <w:r w:rsidR="00D83B7F">
        <w:instrText xml:space="preserve"> SEQ Table \* ARABIC </w:instrText>
      </w:r>
      <w:r w:rsidR="00575D0C">
        <w:fldChar w:fldCharType="separate"/>
      </w:r>
      <w:r w:rsidR="00F937E4">
        <w:rPr>
          <w:noProof/>
        </w:rPr>
        <w:t>1</w:t>
      </w:r>
      <w:r w:rsidR="00575D0C">
        <w:rPr>
          <w:noProof/>
        </w:rPr>
        <w:fldChar w:fldCharType="end"/>
      </w:r>
      <w:r>
        <w:t xml:space="preserve">: </w:t>
      </w:r>
      <w:r w:rsidRPr="005927B5">
        <w:t xml:space="preserve">Population by Age and Sex, 2001-2016, </w:t>
      </w:r>
      <w:r w:rsidR="001A04C9">
        <w:t>c</w:t>
      </w:r>
      <w:r w:rsidR="00A36F64">
        <w:t xml:space="preserve">ity of </w:t>
      </w:r>
      <w:r w:rsidRPr="005927B5">
        <w:t>Toronto</w:t>
      </w:r>
    </w:p>
    <w:p w:rsidR="00D3271A" w:rsidRDefault="00D3271A" w:rsidP="00D3271A">
      <w:pPr>
        <w:pStyle w:val="Body"/>
        <w:jc w:val="center"/>
      </w:pPr>
    </w:p>
    <w:p w:rsidR="00D3271A" w:rsidRDefault="00D3271A" w:rsidP="00F90213">
      <w:pPr>
        <w:pStyle w:val="Body"/>
      </w:pPr>
    </w:p>
    <w:p w:rsidR="006A7786" w:rsidRDefault="00BF19F8" w:rsidP="00F90213">
      <w:pPr>
        <w:pStyle w:val="Body"/>
      </w:pPr>
      <w:r w:rsidRPr="00BF19F8">
        <w:rPr>
          <w:noProof/>
          <w:lang w:eastAsia="en-CA"/>
        </w:rPr>
        <w:drawing>
          <wp:inline distT="0" distB="0" distL="0" distR="0">
            <wp:extent cx="5943600" cy="3752368"/>
            <wp:effectExtent l="0" t="1085850" r="0" b="1086332"/>
            <wp:docPr id="47" name="Picture 14" descr="This image is a table with population counts for total, male, and female population by 5 year age groups. The data is for the city of Toronto, and covers the years 2001, 2006, 2011, and 2016. An electronic version of this data set is available and can be requested from spar@toront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5943600" cy="3752368"/>
                    </a:xfrm>
                    <a:prstGeom prst="rect">
                      <a:avLst/>
                    </a:prstGeom>
                    <a:noFill/>
                    <a:ln>
                      <a:noFill/>
                    </a:ln>
                  </pic:spPr>
                </pic:pic>
              </a:graphicData>
            </a:graphic>
          </wp:inline>
        </w:drawing>
      </w:r>
    </w:p>
    <w:p w:rsidR="006A7786" w:rsidRDefault="006A7786" w:rsidP="00F90213">
      <w:pPr>
        <w:pStyle w:val="Body"/>
      </w:pPr>
    </w:p>
    <w:p w:rsidR="006A7786" w:rsidRDefault="006A7786" w:rsidP="00F90213">
      <w:pPr>
        <w:pStyle w:val="Body"/>
      </w:pPr>
    </w:p>
    <w:p w:rsidR="006A7786" w:rsidRDefault="006A7786" w:rsidP="00F90213">
      <w:pPr>
        <w:pStyle w:val="Body"/>
      </w:pPr>
    </w:p>
    <w:p w:rsidR="006A7786" w:rsidRDefault="006A7786" w:rsidP="00F90213">
      <w:pPr>
        <w:pStyle w:val="Body"/>
      </w:pPr>
    </w:p>
    <w:p w:rsidR="006A7786" w:rsidRDefault="006A7786" w:rsidP="00F90213">
      <w:pPr>
        <w:pStyle w:val="Body"/>
      </w:pPr>
    </w:p>
    <w:p w:rsidR="006A7786" w:rsidRDefault="006A7786" w:rsidP="00F90213">
      <w:pPr>
        <w:pStyle w:val="Body"/>
      </w:pPr>
    </w:p>
    <w:p w:rsidR="006A7786" w:rsidRDefault="006A7786" w:rsidP="00F90213">
      <w:pPr>
        <w:pStyle w:val="Body"/>
      </w:pPr>
    </w:p>
    <w:p w:rsidR="006A7786" w:rsidRDefault="006A7786" w:rsidP="00F90213">
      <w:pPr>
        <w:pStyle w:val="Body"/>
      </w:pPr>
    </w:p>
    <w:p w:rsidR="006A7786" w:rsidRDefault="006A7786" w:rsidP="00F90213">
      <w:pPr>
        <w:pStyle w:val="Body"/>
      </w:pPr>
    </w:p>
    <w:p w:rsidR="006A7786" w:rsidRDefault="006A7786" w:rsidP="00F90213">
      <w:pPr>
        <w:pStyle w:val="Body"/>
      </w:pPr>
    </w:p>
    <w:p w:rsidR="006A7786" w:rsidRDefault="006A7786" w:rsidP="00F90213">
      <w:pPr>
        <w:pStyle w:val="Body"/>
      </w:pPr>
    </w:p>
    <w:p w:rsidR="006A7786" w:rsidRDefault="006A7786" w:rsidP="00F90213">
      <w:pPr>
        <w:pStyle w:val="Body"/>
      </w:pPr>
    </w:p>
    <w:p w:rsidR="00A67395" w:rsidRDefault="00A67395" w:rsidP="00F90213">
      <w:pPr>
        <w:pStyle w:val="Body"/>
      </w:pPr>
      <w:r>
        <w:lastRenderedPageBreak/>
        <w:t xml:space="preserve">Table </w:t>
      </w:r>
      <w:r w:rsidR="00575D0C">
        <w:fldChar w:fldCharType="begin"/>
      </w:r>
      <w:r w:rsidR="00D83B7F">
        <w:instrText xml:space="preserve"> SEQ Table \* ARABIC </w:instrText>
      </w:r>
      <w:r w:rsidR="00575D0C">
        <w:fldChar w:fldCharType="separate"/>
      </w:r>
      <w:r w:rsidR="00F937E4">
        <w:rPr>
          <w:noProof/>
        </w:rPr>
        <w:t>2</w:t>
      </w:r>
      <w:r w:rsidR="00575D0C">
        <w:rPr>
          <w:noProof/>
        </w:rPr>
        <w:fldChar w:fldCharType="end"/>
      </w:r>
      <w:r>
        <w:t xml:space="preserve">: Population Change (%) by 5-year Age Groups, 2001-2016, </w:t>
      </w:r>
      <w:r w:rsidR="001A04C9">
        <w:t>city of Toronto</w:t>
      </w:r>
    </w:p>
    <w:p w:rsidR="00D3271A" w:rsidRDefault="00D3271A" w:rsidP="00F90213">
      <w:pPr>
        <w:pStyle w:val="Body"/>
      </w:pPr>
    </w:p>
    <w:p w:rsidR="005927B5" w:rsidRDefault="00A67395" w:rsidP="00A67395">
      <w:pPr>
        <w:pStyle w:val="Body"/>
        <w:jc w:val="center"/>
      </w:pPr>
      <w:r w:rsidRPr="00A67395">
        <w:rPr>
          <w:noProof/>
          <w:lang w:eastAsia="en-CA"/>
        </w:rPr>
        <w:drawing>
          <wp:inline distT="0" distB="0" distL="0" distR="0">
            <wp:extent cx="3657600" cy="5027912"/>
            <wp:effectExtent l="19050" t="0" r="0" b="0"/>
            <wp:docPr id="16" name="Picture 16" descr="This image is a table with percentage change rates by 5 year age groups. The data is for the city of Toronto, for the years 2001-2006, 2006-2011, and 2011-2016. An electronic version of this data set is available and can be requested from spar@toront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65030" cy="5038126"/>
                    </a:xfrm>
                    <a:prstGeom prst="rect">
                      <a:avLst/>
                    </a:prstGeom>
                    <a:noFill/>
                    <a:ln>
                      <a:noFill/>
                    </a:ln>
                  </pic:spPr>
                </pic:pic>
              </a:graphicData>
            </a:graphic>
          </wp:inline>
        </w:drawing>
      </w:r>
    </w:p>
    <w:p w:rsidR="00A1756D" w:rsidRDefault="00A1756D" w:rsidP="00D81C29">
      <w:pPr>
        <w:pStyle w:val="Body"/>
      </w:pPr>
    </w:p>
    <w:p w:rsidR="00C31A79" w:rsidRDefault="00C31A79" w:rsidP="00C31A79">
      <w:pPr>
        <w:pStyle w:val="Caption"/>
        <w:keepNext/>
        <w:jc w:val="center"/>
      </w:pPr>
      <w:r>
        <w:lastRenderedPageBreak/>
        <w:t xml:space="preserve">Table </w:t>
      </w:r>
      <w:r w:rsidR="00575D0C">
        <w:fldChar w:fldCharType="begin"/>
      </w:r>
      <w:r w:rsidR="005F01E1">
        <w:instrText xml:space="preserve"> SEQ Table \* ARABIC </w:instrText>
      </w:r>
      <w:r w:rsidR="00575D0C">
        <w:fldChar w:fldCharType="separate"/>
      </w:r>
      <w:r w:rsidR="00F937E4">
        <w:rPr>
          <w:noProof/>
        </w:rPr>
        <w:t>3</w:t>
      </w:r>
      <w:r w:rsidR="00575D0C">
        <w:rPr>
          <w:noProof/>
        </w:rPr>
        <w:fldChar w:fldCharType="end"/>
      </w:r>
      <w:r>
        <w:t xml:space="preserve">: </w:t>
      </w:r>
      <w:r w:rsidRPr="000B52C7">
        <w:t>Population by 5 year Age Group and Sex, City of Toronto, 2016</w:t>
      </w:r>
    </w:p>
    <w:p w:rsidR="00A1756D" w:rsidRDefault="00E01A50" w:rsidP="00E01A50">
      <w:pPr>
        <w:pStyle w:val="Body"/>
        <w:jc w:val="center"/>
      </w:pPr>
      <w:r w:rsidRPr="00E01A50">
        <w:rPr>
          <w:noProof/>
          <w:lang w:eastAsia="en-CA"/>
        </w:rPr>
        <w:drawing>
          <wp:inline distT="0" distB="0" distL="0" distR="0">
            <wp:extent cx="5092593" cy="5137265"/>
            <wp:effectExtent l="19050" t="0" r="0" b="0"/>
            <wp:docPr id="8" name="Picture 8" descr="This image is a table with population and percentage counts for total, male, and female population by 5 year age groups. The data is for the city of Toronto, for the year 2016. An electronic version of this data set is available and can be requested from spar@toront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01307" cy="5146056"/>
                    </a:xfrm>
                    <a:prstGeom prst="rect">
                      <a:avLst/>
                    </a:prstGeom>
                    <a:noFill/>
                    <a:ln>
                      <a:noFill/>
                    </a:ln>
                  </pic:spPr>
                </pic:pic>
              </a:graphicData>
            </a:graphic>
          </wp:inline>
        </w:drawing>
      </w:r>
    </w:p>
    <w:p w:rsidR="00A1756D" w:rsidRDefault="00A1756D" w:rsidP="00D81C29">
      <w:pPr>
        <w:pStyle w:val="Body"/>
      </w:pPr>
    </w:p>
    <w:p w:rsidR="00C31A79" w:rsidRDefault="00C31A79" w:rsidP="00C31A79">
      <w:pPr>
        <w:pStyle w:val="Caption"/>
        <w:keepNext/>
        <w:jc w:val="center"/>
      </w:pPr>
      <w:r>
        <w:lastRenderedPageBreak/>
        <w:t xml:space="preserve">Table </w:t>
      </w:r>
      <w:r w:rsidR="00575D0C">
        <w:fldChar w:fldCharType="begin"/>
      </w:r>
      <w:r w:rsidR="005F01E1">
        <w:instrText xml:space="preserve"> SEQ Table \* ARABIC </w:instrText>
      </w:r>
      <w:r w:rsidR="00575D0C">
        <w:fldChar w:fldCharType="separate"/>
      </w:r>
      <w:r w:rsidR="00F937E4">
        <w:rPr>
          <w:noProof/>
        </w:rPr>
        <w:t>4</w:t>
      </w:r>
      <w:r w:rsidR="00575D0C">
        <w:rPr>
          <w:noProof/>
        </w:rPr>
        <w:fldChar w:fldCharType="end"/>
      </w:r>
      <w:r>
        <w:t>: P</w:t>
      </w:r>
      <w:r w:rsidRPr="00730761">
        <w:t>opulation by select age groups, 2016, Greater Toronto and Hamilton Area</w:t>
      </w:r>
    </w:p>
    <w:p w:rsidR="003C36BB" w:rsidRDefault="006A7786" w:rsidP="00C31A79">
      <w:pPr>
        <w:pStyle w:val="Body"/>
        <w:jc w:val="center"/>
      </w:pPr>
      <w:r w:rsidRPr="006A7786">
        <w:rPr>
          <w:noProof/>
          <w:lang w:eastAsia="en-CA"/>
        </w:rPr>
        <w:drawing>
          <wp:inline distT="0" distB="0" distL="0" distR="0">
            <wp:extent cx="6924418" cy="3391720"/>
            <wp:effectExtent l="0" t="1752600" r="0" b="1751780"/>
            <wp:docPr id="17" name="Picture 10" descr="This image is a table with population counts and percentages for population by selected are groups. The data is for the regional and single tier municipalities in the Greater Toronto and Hamilton Area, for the year 2016. An electronic version of this data set is available and can be requested from spar@toront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6938023" cy="3398384"/>
                    </a:xfrm>
                    <a:prstGeom prst="rect">
                      <a:avLst/>
                    </a:prstGeom>
                    <a:noFill/>
                    <a:ln>
                      <a:noFill/>
                    </a:ln>
                  </pic:spPr>
                </pic:pic>
              </a:graphicData>
            </a:graphic>
          </wp:inline>
        </w:drawing>
      </w:r>
    </w:p>
    <w:p w:rsidR="006A7786" w:rsidRDefault="006A7786" w:rsidP="006A7786"/>
    <w:p w:rsidR="006A7786" w:rsidRDefault="006A7786" w:rsidP="006A7786"/>
    <w:p w:rsidR="006A7786" w:rsidRDefault="006A7786" w:rsidP="006A7786"/>
    <w:p w:rsidR="006A7786" w:rsidRDefault="006A7786" w:rsidP="006A7786"/>
    <w:p w:rsidR="006A7786" w:rsidRDefault="006A7786" w:rsidP="006A7786"/>
    <w:p w:rsidR="006A7786" w:rsidRDefault="006A7786" w:rsidP="006A7786"/>
    <w:p w:rsidR="006A7786" w:rsidRDefault="006A7786" w:rsidP="006A7786"/>
    <w:p w:rsidR="006A7786" w:rsidRDefault="006A7786" w:rsidP="006A7786"/>
    <w:p w:rsidR="006A7786" w:rsidRPr="005D10E0" w:rsidRDefault="006A7786" w:rsidP="006A7786">
      <w:pPr>
        <w:rPr>
          <w:rFonts w:eastAsia="Times New Roman" w:cs="Arial"/>
          <w:bCs/>
          <w:color w:val="auto"/>
          <w:lang w:eastAsia="en-CA"/>
        </w:rPr>
      </w:pPr>
      <w:r>
        <w:lastRenderedPageBreak/>
        <w:t xml:space="preserve">Table </w:t>
      </w:r>
      <w:r w:rsidR="00575D0C">
        <w:fldChar w:fldCharType="begin"/>
      </w:r>
      <w:r w:rsidR="00D83B7F">
        <w:instrText xml:space="preserve"> SEQ Table \* ARABIC </w:instrText>
      </w:r>
      <w:r w:rsidR="00575D0C">
        <w:fldChar w:fldCharType="separate"/>
      </w:r>
      <w:r w:rsidR="00F937E4">
        <w:rPr>
          <w:noProof/>
        </w:rPr>
        <w:t>5</w:t>
      </w:r>
      <w:r w:rsidR="00575D0C">
        <w:rPr>
          <w:noProof/>
        </w:rPr>
        <w:fldChar w:fldCharType="end"/>
      </w:r>
      <w:r>
        <w:t>:</w:t>
      </w:r>
      <w:r w:rsidRPr="009E3026">
        <w:rPr>
          <w:rFonts w:eastAsia="Times New Roman" w:cs="Arial"/>
          <w:bCs/>
          <w:color w:val="auto"/>
          <w:lang w:eastAsia="en-CA"/>
        </w:rPr>
        <w:t xml:space="preserve"> </w:t>
      </w:r>
      <w:r w:rsidRPr="005D10E0">
        <w:rPr>
          <w:rFonts w:eastAsia="Times New Roman" w:cs="Arial"/>
          <w:bCs/>
          <w:color w:val="auto"/>
          <w:lang w:eastAsia="en-CA"/>
        </w:rPr>
        <w:t>Dwelling Units by Structure Type, Toronto, 1996-2016</w:t>
      </w:r>
    </w:p>
    <w:p w:rsidR="006A7786" w:rsidRPr="005D10E0" w:rsidRDefault="006A7786" w:rsidP="006A7786">
      <w:r w:rsidRPr="005D10E0">
        <w:rPr>
          <w:noProof/>
          <w:lang w:eastAsia="en-CA"/>
        </w:rPr>
        <w:drawing>
          <wp:inline distT="0" distB="0" distL="0" distR="0">
            <wp:extent cx="5943600" cy="1421990"/>
            <wp:effectExtent l="19050" t="0" r="0" b="0"/>
            <wp:docPr id="4" name="Picture 12" descr="Table: Dwelling Units by Structure Type, Toronto, 1991-2016&#10;Summary: This table shows the total number of dwelling units by structure type for the City of Toronto for the years 1996, 2006, 2011 and 2016 based on Census data. The table shows that there has been a decrease in single and semi-detached houses in the last five years and an increase in apartment dwellings. For more information, please contact Michael Wright at 416-392-7558 or Michael.Wright@toronto.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5943600" cy="1421990"/>
                    </a:xfrm>
                    <a:prstGeom prst="rect">
                      <a:avLst/>
                    </a:prstGeom>
                    <a:noFill/>
                    <a:ln w="9525">
                      <a:noFill/>
                      <a:miter lim="800000"/>
                      <a:headEnd/>
                      <a:tailEnd/>
                    </a:ln>
                  </pic:spPr>
                </pic:pic>
              </a:graphicData>
            </a:graphic>
          </wp:inline>
        </w:drawing>
      </w:r>
    </w:p>
    <w:p w:rsidR="006A7786" w:rsidRPr="005D10E0" w:rsidRDefault="006A7786" w:rsidP="006A7786"/>
    <w:p w:rsidR="006A7786" w:rsidRPr="005D10E0" w:rsidRDefault="006A7786" w:rsidP="006A7786">
      <w:pPr>
        <w:rPr>
          <w:rFonts w:eastAsia="Times New Roman" w:cs="Arial"/>
          <w:color w:val="auto"/>
          <w:sz w:val="16"/>
          <w:szCs w:val="16"/>
          <w:lang w:eastAsia="en-CA"/>
        </w:rPr>
      </w:pPr>
      <w:r w:rsidRPr="005D10E0">
        <w:rPr>
          <w:rFonts w:eastAsia="Times New Roman" w:cs="Arial"/>
          <w:color w:val="auto"/>
          <w:sz w:val="16"/>
          <w:szCs w:val="16"/>
          <w:lang w:eastAsia="en-CA"/>
        </w:rPr>
        <w:t>Source: Statistics Canada, 1996-2016 Censuses</w:t>
      </w:r>
    </w:p>
    <w:p w:rsidR="006A7786" w:rsidRPr="005D10E0" w:rsidRDefault="006A7786" w:rsidP="006A7786">
      <w:pPr>
        <w:rPr>
          <w:rFonts w:eastAsia="Times New Roman" w:cs="Arial"/>
          <w:color w:val="auto"/>
          <w:sz w:val="16"/>
          <w:szCs w:val="16"/>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r w:rsidRPr="005D10E0">
        <w:t xml:space="preserve">Figure </w:t>
      </w:r>
      <w:r w:rsidR="00575D0C">
        <w:fldChar w:fldCharType="begin"/>
      </w:r>
      <w:r w:rsidR="00D83B7F">
        <w:instrText xml:space="preserve"> SEQ Figure \* ARABIC </w:instrText>
      </w:r>
      <w:r w:rsidR="00575D0C">
        <w:fldChar w:fldCharType="separate"/>
      </w:r>
      <w:r w:rsidR="00F937E4">
        <w:rPr>
          <w:noProof/>
        </w:rPr>
        <w:t>5</w:t>
      </w:r>
      <w:r w:rsidR="00575D0C">
        <w:rPr>
          <w:noProof/>
        </w:rPr>
        <w:fldChar w:fldCharType="end"/>
      </w:r>
      <w:r w:rsidRPr="005D10E0">
        <w:t>:</w:t>
      </w:r>
      <w:r w:rsidRPr="005D10E0">
        <w:rPr>
          <w:rFonts w:eastAsia="Times New Roman" w:cs="Arial"/>
          <w:bCs/>
          <w:color w:val="auto"/>
          <w:lang w:eastAsia="en-CA"/>
        </w:rPr>
        <w:t xml:space="preserve"> Dwelling Units by Structure Type, Toronto, 1996-2016</w:t>
      </w:r>
    </w:p>
    <w:p w:rsidR="006A7786" w:rsidRPr="005D10E0" w:rsidRDefault="006A7786" w:rsidP="006A7786">
      <w:pPr>
        <w:pStyle w:val="Caption"/>
        <w:keepNext/>
      </w:pPr>
    </w:p>
    <w:p w:rsidR="006A7786" w:rsidRPr="005D10E0" w:rsidRDefault="006A7786" w:rsidP="006A7786">
      <w:pPr>
        <w:rPr>
          <w:rFonts w:eastAsia="Times New Roman" w:cs="Arial"/>
          <w:color w:val="auto"/>
          <w:sz w:val="16"/>
          <w:szCs w:val="16"/>
          <w:lang w:eastAsia="en-CA"/>
        </w:rPr>
      </w:pPr>
      <w:r w:rsidRPr="005D10E0">
        <w:rPr>
          <w:rFonts w:eastAsia="Times New Roman" w:cs="Arial"/>
          <w:noProof/>
          <w:color w:val="auto"/>
          <w:sz w:val="16"/>
          <w:szCs w:val="16"/>
          <w:lang w:eastAsia="en-CA"/>
        </w:rPr>
        <w:drawing>
          <wp:inline distT="0" distB="0" distL="0" distR="0">
            <wp:extent cx="6115936" cy="3718915"/>
            <wp:effectExtent l="19050" t="0" r="0" b="0"/>
            <wp:docPr id="5" name="Picture 1" descr="Graph: Dwelling Units by Structure Type, Toronto, 1991-2016&#10;Summary: This table shows the total number of dwelling units by structure type for the City of Toronto for the years 1996, 2006, 2011 and 2016 based on Census data. For more information, please contact Michael Wright at 416-392-7558 or Michael.Wright@toronto.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f Dwellings by Structure Type.jpg"/>
                    <pic:cNvPicPr/>
                  </pic:nvPicPr>
                  <pic:blipFill>
                    <a:blip r:embed="rId27" cstate="print"/>
                    <a:srcRect t="7799" r="10823" b="10864"/>
                    <a:stretch>
                      <a:fillRect/>
                    </a:stretch>
                  </pic:blipFill>
                  <pic:spPr>
                    <a:xfrm>
                      <a:off x="0" y="0"/>
                      <a:ext cx="6115938" cy="3718916"/>
                    </a:xfrm>
                    <a:prstGeom prst="rect">
                      <a:avLst/>
                    </a:prstGeom>
                  </pic:spPr>
                </pic:pic>
              </a:graphicData>
            </a:graphic>
          </wp:inline>
        </w:drawing>
      </w:r>
    </w:p>
    <w:p w:rsidR="006A7786" w:rsidRPr="005D10E0" w:rsidRDefault="006A7786" w:rsidP="006A7786">
      <w:pPr>
        <w:rPr>
          <w:rFonts w:eastAsia="Times New Roman" w:cs="Arial"/>
          <w:color w:val="auto"/>
          <w:sz w:val="16"/>
          <w:szCs w:val="16"/>
          <w:lang w:eastAsia="en-CA"/>
        </w:rPr>
      </w:pPr>
    </w:p>
    <w:p w:rsidR="006A7786" w:rsidRPr="005D10E0" w:rsidRDefault="006A7786" w:rsidP="006A7786">
      <w:pPr>
        <w:rPr>
          <w:rFonts w:eastAsia="Times New Roman" w:cs="Arial"/>
          <w:color w:val="auto"/>
          <w:sz w:val="16"/>
          <w:szCs w:val="16"/>
          <w:lang w:eastAsia="en-CA"/>
        </w:rPr>
      </w:pPr>
    </w:p>
    <w:p w:rsidR="006A7786" w:rsidRPr="005D10E0" w:rsidRDefault="006A7786" w:rsidP="006A7786">
      <w:pPr>
        <w:rPr>
          <w:rFonts w:eastAsia="Times New Roman" w:cs="Arial"/>
          <w:color w:val="auto"/>
          <w:sz w:val="16"/>
          <w:szCs w:val="16"/>
          <w:lang w:eastAsia="en-CA"/>
        </w:rPr>
      </w:pPr>
    </w:p>
    <w:p w:rsidR="006A7786" w:rsidRPr="005D10E0" w:rsidRDefault="006A7786" w:rsidP="006A7786">
      <w:pPr>
        <w:rPr>
          <w:rFonts w:eastAsia="Times New Roman" w:cs="Arial"/>
          <w:color w:val="auto"/>
          <w:sz w:val="16"/>
          <w:szCs w:val="16"/>
          <w:lang w:eastAsia="en-CA"/>
        </w:rPr>
      </w:pPr>
      <w:r w:rsidRPr="005D10E0">
        <w:rPr>
          <w:rFonts w:eastAsia="Times New Roman" w:cs="Arial"/>
          <w:color w:val="auto"/>
          <w:sz w:val="16"/>
          <w:szCs w:val="16"/>
          <w:lang w:eastAsia="en-CA"/>
        </w:rPr>
        <w:t>Source: Statistics Canada, 1996-2016 Censuses</w:t>
      </w:r>
    </w:p>
    <w:p w:rsidR="006A7786" w:rsidRPr="005D10E0" w:rsidRDefault="006A7786" w:rsidP="006A7786">
      <w:pPr>
        <w:rPr>
          <w:rFonts w:eastAsia="Times New Roman" w:cs="Arial"/>
          <w:color w:val="auto"/>
          <w:sz w:val="16"/>
          <w:szCs w:val="16"/>
          <w:lang w:eastAsia="en-CA"/>
        </w:rPr>
      </w:pPr>
    </w:p>
    <w:p w:rsidR="006A7786" w:rsidRPr="005D10E0" w:rsidRDefault="006A7786" w:rsidP="006A7786">
      <w:pPr>
        <w:rPr>
          <w:rFonts w:eastAsia="Times New Roman" w:cs="Arial"/>
          <w:color w:val="auto"/>
          <w:sz w:val="16"/>
          <w:szCs w:val="16"/>
          <w:lang w:eastAsia="en-CA"/>
        </w:rPr>
      </w:pPr>
    </w:p>
    <w:p w:rsidR="006A7786" w:rsidRPr="005D10E0" w:rsidRDefault="006A7786" w:rsidP="006A7786">
      <w:pPr>
        <w:rPr>
          <w:rFonts w:eastAsia="Times New Roman" w:cs="Arial"/>
          <w:color w:val="auto"/>
          <w:sz w:val="16"/>
          <w:szCs w:val="16"/>
          <w:lang w:eastAsia="en-CA"/>
        </w:rPr>
      </w:pPr>
    </w:p>
    <w:p w:rsidR="006A7786" w:rsidRPr="005D10E0" w:rsidRDefault="006A7786" w:rsidP="006A7786">
      <w:pPr>
        <w:rPr>
          <w:rFonts w:eastAsia="Times New Roman" w:cs="Arial"/>
          <w:color w:val="auto"/>
          <w:sz w:val="16"/>
          <w:szCs w:val="16"/>
          <w:lang w:eastAsia="en-CA"/>
        </w:rPr>
      </w:pPr>
    </w:p>
    <w:p w:rsidR="006A7786" w:rsidRPr="005D10E0" w:rsidRDefault="006A7786" w:rsidP="006A7786">
      <w:pPr>
        <w:rPr>
          <w:rFonts w:eastAsia="Times New Roman" w:cs="Arial"/>
          <w:color w:val="auto"/>
          <w:sz w:val="16"/>
          <w:szCs w:val="16"/>
          <w:lang w:eastAsia="en-CA"/>
        </w:rPr>
      </w:pPr>
    </w:p>
    <w:p w:rsidR="006A7786" w:rsidRPr="005D10E0" w:rsidRDefault="006A7786" w:rsidP="006A7786">
      <w:pPr>
        <w:rPr>
          <w:rFonts w:eastAsia="Times New Roman" w:cs="Arial"/>
          <w:color w:val="auto"/>
          <w:sz w:val="16"/>
          <w:szCs w:val="16"/>
          <w:lang w:eastAsia="en-CA"/>
        </w:rPr>
      </w:pPr>
    </w:p>
    <w:p w:rsidR="006A7786" w:rsidRPr="005D10E0" w:rsidRDefault="006A7786" w:rsidP="006A7786">
      <w:pPr>
        <w:rPr>
          <w:rFonts w:eastAsia="Times New Roman" w:cs="Arial"/>
          <w:color w:val="auto"/>
          <w:sz w:val="16"/>
          <w:szCs w:val="16"/>
          <w:lang w:eastAsia="en-CA"/>
        </w:rPr>
      </w:pPr>
    </w:p>
    <w:p w:rsidR="006A7786" w:rsidRPr="005D10E0" w:rsidRDefault="006A7786" w:rsidP="006A7786">
      <w:pPr>
        <w:rPr>
          <w:rFonts w:eastAsia="Times New Roman" w:cs="Arial"/>
          <w:color w:val="auto"/>
          <w:sz w:val="16"/>
          <w:szCs w:val="16"/>
          <w:lang w:eastAsia="en-CA"/>
        </w:rPr>
      </w:pPr>
    </w:p>
    <w:p w:rsidR="006A7786" w:rsidRDefault="006A7786" w:rsidP="006A7786">
      <w:pPr>
        <w:pStyle w:val="Caption"/>
        <w:keepNext/>
      </w:pPr>
      <w:r>
        <w:lastRenderedPageBreak/>
        <w:t xml:space="preserve">Table </w:t>
      </w:r>
      <w:r w:rsidR="00575D0C">
        <w:fldChar w:fldCharType="begin"/>
      </w:r>
      <w:r w:rsidR="00D83B7F">
        <w:instrText xml:space="preserve"> SEQ Table \* ARABIC </w:instrText>
      </w:r>
      <w:r w:rsidR="00575D0C">
        <w:fldChar w:fldCharType="separate"/>
      </w:r>
      <w:r w:rsidR="00F937E4">
        <w:rPr>
          <w:noProof/>
        </w:rPr>
        <w:t>6</w:t>
      </w:r>
      <w:r w:rsidR="00575D0C">
        <w:rPr>
          <w:noProof/>
        </w:rPr>
        <w:fldChar w:fldCharType="end"/>
      </w:r>
      <w:r>
        <w:t>:</w:t>
      </w:r>
      <w:r w:rsidRPr="009E3026">
        <w:rPr>
          <w:rFonts w:eastAsia="Times New Roman" w:cs="Arial"/>
          <w:bCs/>
          <w:color w:val="auto"/>
          <w:lang w:eastAsia="en-CA"/>
        </w:rPr>
        <w:t xml:space="preserve"> </w:t>
      </w:r>
      <w:r w:rsidRPr="005D10E0">
        <w:rPr>
          <w:rFonts w:eastAsia="Times New Roman" w:cs="Arial"/>
          <w:bCs/>
          <w:color w:val="auto"/>
          <w:lang w:eastAsia="en-CA"/>
        </w:rPr>
        <w:t>Dwelling Units by Structure Type, Rest of the Greater Toronto and Hamilton Area (excluding Toronto), 1996-2016</w:t>
      </w:r>
    </w:p>
    <w:p w:rsidR="006A7786" w:rsidRPr="005D10E0" w:rsidRDefault="006A7786" w:rsidP="006A7786">
      <w:pPr>
        <w:rPr>
          <w:rFonts w:eastAsia="Times New Roman" w:cs="Arial"/>
          <w:color w:val="auto"/>
          <w:sz w:val="16"/>
          <w:szCs w:val="16"/>
          <w:lang w:eastAsia="en-CA"/>
        </w:rPr>
      </w:pPr>
      <w:r w:rsidRPr="005D10E0">
        <w:rPr>
          <w:noProof/>
          <w:szCs w:val="16"/>
          <w:lang w:eastAsia="en-CA"/>
        </w:rPr>
        <w:drawing>
          <wp:inline distT="0" distB="0" distL="0" distR="0">
            <wp:extent cx="5943600" cy="1421990"/>
            <wp:effectExtent l="19050" t="0" r="0" b="0"/>
            <wp:docPr id="7" name="Picture 13" descr="Table: Dwelling Units by Structure Type, Rest of the Greater Toronto and Hamilton Area (excluding Toronto), 1996-2016&#10;Summary: This table shows the total number of dwelling units by structure type for the rest of the Greater Toronto and Hamilton Area (excluding Toronto) for the years 1996, 2006, 2011 and 2016 based on Census data. For more information, please contact Michael Wright at 416-392-7558 or Michael.Wright@toronto.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5943600" cy="1421990"/>
                    </a:xfrm>
                    <a:prstGeom prst="rect">
                      <a:avLst/>
                    </a:prstGeom>
                    <a:noFill/>
                    <a:ln w="9525">
                      <a:noFill/>
                      <a:miter lim="800000"/>
                      <a:headEnd/>
                      <a:tailEnd/>
                    </a:ln>
                  </pic:spPr>
                </pic:pic>
              </a:graphicData>
            </a:graphic>
          </wp:inline>
        </w:drawing>
      </w:r>
    </w:p>
    <w:p w:rsidR="006A7786" w:rsidRPr="005D10E0" w:rsidRDefault="006A7786" w:rsidP="006A7786"/>
    <w:p w:rsidR="006A7786" w:rsidRPr="005D10E0" w:rsidRDefault="006A7786" w:rsidP="006A7786">
      <w:pPr>
        <w:rPr>
          <w:rFonts w:eastAsia="Times New Roman" w:cs="Arial"/>
          <w:color w:val="auto"/>
          <w:sz w:val="16"/>
          <w:szCs w:val="16"/>
          <w:lang w:eastAsia="en-CA"/>
        </w:rPr>
      </w:pPr>
    </w:p>
    <w:p w:rsidR="006A7786" w:rsidRPr="005D10E0" w:rsidRDefault="006A7786" w:rsidP="006A7786">
      <w:pPr>
        <w:rPr>
          <w:rFonts w:eastAsia="Times New Roman" w:cs="Arial"/>
          <w:color w:val="auto"/>
          <w:sz w:val="16"/>
          <w:szCs w:val="16"/>
          <w:lang w:eastAsia="en-CA"/>
        </w:rPr>
      </w:pPr>
      <w:r w:rsidRPr="005D10E0">
        <w:rPr>
          <w:rFonts w:eastAsia="Times New Roman" w:cs="Arial"/>
          <w:color w:val="auto"/>
          <w:sz w:val="16"/>
          <w:szCs w:val="16"/>
          <w:lang w:eastAsia="en-CA"/>
        </w:rPr>
        <w:t>Source: Statistics Canada, 1996-2016 Censuses</w:t>
      </w:r>
    </w:p>
    <w:p w:rsidR="006A7786" w:rsidRPr="005D10E0" w:rsidRDefault="006A7786" w:rsidP="006A7786"/>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r>
        <w:t xml:space="preserve">Table </w:t>
      </w:r>
      <w:r w:rsidR="00575D0C">
        <w:fldChar w:fldCharType="begin"/>
      </w:r>
      <w:r w:rsidR="00D83B7F">
        <w:instrText xml:space="preserve"> SEQ Table \* ARABIC </w:instrText>
      </w:r>
      <w:r w:rsidR="00575D0C">
        <w:fldChar w:fldCharType="separate"/>
      </w:r>
      <w:r w:rsidR="00F937E4">
        <w:rPr>
          <w:noProof/>
        </w:rPr>
        <w:t>7</w:t>
      </w:r>
      <w:r w:rsidR="00575D0C">
        <w:rPr>
          <w:noProof/>
        </w:rPr>
        <w:fldChar w:fldCharType="end"/>
      </w:r>
      <w:r>
        <w:t>:</w:t>
      </w:r>
      <w:r w:rsidRPr="009E3026">
        <w:rPr>
          <w:rFonts w:eastAsia="Times New Roman" w:cs="Arial"/>
          <w:bCs/>
          <w:color w:val="auto"/>
          <w:lang w:eastAsia="en-CA"/>
        </w:rPr>
        <w:t xml:space="preserve"> </w:t>
      </w:r>
      <w:r w:rsidRPr="005D10E0">
        <w:rPr>
          <w:rFonts w:eastAsia="Times New Roman" w:cs="Arial"/>
          <w:bCs/>
          <w:color w:val="auto"/>
          <w:lang w:eastAsia="en-CA"/>
        </w:rPr>
        <w:t>Dwelling Units by Structure Type, Greater Toronto and Hamilton Area, 1996-2016</w:t>
      </w:r>
    </w:p>
    <w:p w:rsidR="006A7786" w:rsidRDefault="006A7786" w:rsidP="006A7786">
      <w:pPr>
        <w:pStyle w:val="Caption"/>
        <w:keepNext/>
      </w:pPr>
    </w:p>
    <w:p w:rsidR="006A7786" w:rsidRPr="005D10E0" w:rsidRDefault="006A7786" w:rsidP="006A7786">
      <w:r w:rsidRPr="005D10E0">
        <w:rPr>
          <w:noProof/>
          <w:lang w:eastAsia="en-CA"/>
        </w:rPr>
        <w:drawing>
          <wp:inline distT="0" distB="0" distL="0" distR="0">
            <wp:extent cx="5943600" cy="1421990"/>
            <wp:effectExtent l="19050" t="0" r="0" b="0"/>
            <wp:docPr id="23" name="Picture 14" descr="Table: Dwelling Units by Structure Type, Greater Toronto and Hamilton Area (excluding Toronto), 1996-2016&#10;Summary: This table shows the total number of dwelling units by structure type for the entire Greater Toronto and Hamilton Area for the years 1996, 2006, 2011 and 2016 based on Census data. For more information, please contact Michael Wright at 416-392-7558 or Michael.Wright@toronto.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5943600" cy="1421990"/>
                    </a:xfrm>
                    <a:prstGeom prst="rect">
                      <a:avLst/>
                    </a:prstGeom>
                    <a:noFill/>
                    <a:ln w="9525">
                      <a:noFill/>
                      <a:miter lim="800000"/>
                      <a:headEnd/>
                      <a:tailEnd/>
                    </a:ln>
                  </pic:spPr>
                </pic:pic>
              </a:graphicData>
            </a:graphic>
          </wp:inline>
        </w:drawing>
      </w:r>
    </w:p>
    <w:p w:rsidR="006A7786" w:rsidRPr="005D10E0" w:rsidRDefault="006A7786" w:rsidP="006A7786">
      <w:pPr>
        <w:rPr>
          <w:rFonts w:eastAsia="Times New Roman" w:cs="Arial"/>
          <w:color w:val="auto"/>
          <w:sz w:val="16"/>
          <w:szCs w:val="16"/>
          <w:lang w:eastAsia="en-CA"/>
        </w:rPr>
      </w:pPr>
    </w:p>
    <w:p w:rsidR="006A7786" w:rsidRPr="005D10E0" w:rsidRDefault="006A7786" w:rsidP="006A7786">
      <w:pPr>
        <w:rPr>
          <w:rFonts w:eastAsia="Times New Roman" w:cs="Arial"/>
          <w:color w:val="auto"/>
          <w:sz w:val="16"/>
          <w:szCs w:val="16"/>
          <w:lang w:eastAsia="en-CA"/>
        </w:rPr>
      </w:pPr>
    </w:p>
    <w:p w:rsidR="006A7786" w:rsidRPr="005D10E0" w:rsidRDefault="006A7786" w:rsidP="006A7786">
      <w:pPr>
        <w:rPr>
          <w:rFonts w:eastAsia="Times New Roman" w:cs="Arial"/>
          <w:color w:val="auto"/>
          <w:sz w:val="16"/>
          <w:szCs w:val="16"/>
          <w:lang w:eastAsia="en-CA"/>
        </w:rPr>
      </w:pPr>
      <w:r w:rsidRPr="005D10E0">
        <w:rPr>
          <w:rFonts w:eastAsia="Times New Roman" w:cs="Arial"/>
          <w:color w:val="auto"/>
          <w:sz w:val="16"/>
          <w:szCs w:val="16"/>
          <w:lang w:eastAsia="en-CA"/>
        </w:rPr>
        <w:t>Source: Statistics Canada, 1996-2016 Censuses</w:t>
      </w:r>
    </w:p>
    <w:p w:rsidR="006A7786" w:rsidRPr="005D10E0" w:rsidRDefault="006A7786" w:rsidP="006A7786">
      <w:pPr>
        <w:rPr>
          <w:rFonts w:eastAsia="Times New Roman" w:cs="Arial"/>
          <w:color w:val="auto"/>
          <w:sz w:val="16"/>
          <w:szCs w:val="16"/>
          <w:lang w:eastAsia="en-CA"/>
        </w:rPr>
      </w:pPr>
    </w:p>
    <w:p w:rsidR="006A7786" w:rsidRPr="005D10E0" w:rsidRDefault="006A7786" w:rsidP="006A7786">
      <w:pPr>
        <w:rPr>
          <w:rFonts w:eastAsia="Times New Roman" w:cs="Arial"/>
          <w:color w:val="auto"/>
          <w:sz w:val="16"/>
          <w:szCs w:val="16"/>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r w:rsidRPr="005D10E0">
        <w:lastRenderedPageBreak/>
        <w:t xml:space="preserve">Figure </w:t>
      </w:r>
      <w:r w:rsidR="00575D0C">
        <w:fldChar w:fldCharType="begin"/>
      </w:r>
      <w:r w:rsidR="00D83B7F">
        <w:instrText xml:space="preserve"> SEQ Figure \* ARABIC </w:instrText>
      </w:r>
      <w:r w:rsidR="00575D0C">
        <w:fldChar w:fldCharType="separate"/>
      </w:r>
      <w:r w:rsidR="00F937E4">
        <w:rPr>
          <w:noProof/>
        </w:rPr>
        <w:t>6</w:t>
      </w:r>
      <w:r w:rsidR="00575D0C">
        <w:rPr>
          <w:noProof/>
        </w:rPr>
        <w:fldChar w:fldCharType="end"/>
      </w:r>
      <w:r w:rsidRPr="005D10E0">
        <w:t>:</w:t>
      </w:r>
      <w:r w:rsidRPr="005D10E0">
        <w:rPr>
          <w:rFonts w:eastAsia="Times New Roman" w:cs="Arial"/>
          <w:bCs/>
          <w:color w:val="auto"/>
          <w:lang w:eastAsia="en-CA"/>
        </w:rPr>
        <w:t xml:space="preserve"> 5 Year Absolute Change of Dwelling Units by Structure Type, Greater Toronto and Hamilton Area, 2011-2016</w:t>
      </w:r>
    </w:p>
    <w:p w:rsidR="006A7786" w:rsidRPr="005D10E0" w:rsidRDefault="006A7786" w:rsidP="006A7786">
      <w:pPr>
        <w:rPr>
          <w:rFonts w:eastAsia="Times New Roman" w:cs="Arial"/>
          <w:bCs/>
          <w:color w:val="auto"/>
          <w:lang w:eastAsia="en-CA"/>
        </w:rPr>
      </w:pPr>
      <w:r w:rsidRPr="005D10E0">
        <w:rPr>
          <w:rFonts w:eastAsia="Times New Roman" w:cs="Arial"/>
          <w:bCs/>
          <w:noProof/>
          <w:color w:val="auto"/>
          <w:lang w:eastAsia="en-CA"/>
        </w:rPr>
        <w:drawing>
          <wp:inline distT="0" distB="0" distL="0" distR="0">
            <wp:extent cx="5616206" cy="3594255"/>
            <wp:effectExtent l="19050" t="0" r="3544" b="0"/>
            <wp:docPr id="9" name="Picture 6" descr="Graph: 5 Year Absolute Change of Dwelling Units by Structure Type, Greater Toronto and Hamilton Area, 2011-2016&#10;Summary: This graph shows the change in the number of dwelling units by structure type for the Greater Toronto and Hamilton Area for the five year period between 2011 and 2016 based on Census data. For more information, please contact Michael Wright at 416-392-7558 or Michael.Wright@toronto.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Year Change (Absolute).jpg"/>
                    <pic:cNvPicPr/>
                  </pic:nvPicPr>
                  <pic:blipFill>
                    <a:blip r:embed="rId30" cstate="print"/>
                    <a:srcRect l="2345" t="12500" r="15112" b="5608"/>
                    <a:stretch>
                      <a:fillRect/>
                    </a:stretch>
                  </pic:blipFill>
                  <pic:spPr>
                    <a:xfrm>
                      <a:off x="0" y="0"/>
                      <a:ext cx="5612417" cy="3591830"/>
                    </a:xfrm>
                    <a:prstGeom prst="rect">
                      <a:avLst/>
                    </a:prstGeom>
                  </pic:spPr>
                </pic:pic>
              </a:graphicData>
            </a:graphic>
          </wp:inline>
        </w:drawing>
      </w:r>
    </w:p>
    <w:p w:rsidR="006A7786" w:rsidRPr="005D10E0" w:rsidRDefault="006A7786" w:rsidP="006A7786">
      <w:pPr>
        <w:rPr>
          <w:rFonts w:eastAsia="Times New Roman" w:cs="Arial"/>
          <w:color w:val="auto"/>
          <w:sz w:val="16"/>
          <w:szCs w:val="16"/>
          <w:lang w:eastAsia="en-CA"/>
        </w:rPr>
      </w:pPr>
      <w:r w:rsidRPr="005D10E0">
        <w:rPr>
          <w:rFonts w:eastAsia="Times New Roman" w:cs="Arial"/>
          <w:color w:val="auto"/>
          <w:sz w:val="16"/>
          <w:szCs w:val="16"/>
          <w:lang w:eastAsia="en-CA"/>
        </w:rPr>
        <w:t>Source: Statistics Canada, 1996-2016 Censuses</w:t>
      </w:r>
    </w:p>
    <w:p w:rsidR="006A7786" w:rsidRPr="005D10E0" w:rsidRDefault="006A7786" w:rsidP="006A7786">
      <w:pPr>
        <w:rPr>
          <w:rFonts w:eastAsia="Times New Roman" w:cs="Arial"/>
          <w:bCs/>
          <w:color w:val="auto"/>
          <w:lang w:eastAsia="en-CA"/>
        </w:rPr>
      </w:pPr>
    </w:p>
    <w:p w:rsidR="006A7786" w:rsidRDefault="006A7786" w:rsidP="006A7786">
      <w:pPr>
        <w:rPr>
          <w:rFonts w:eastAsia="Times New Roman" w:cs="Arial"/>
          <w:bCs/>
          <w:color w:val="auto"/>
          <w:lang w:eastAsia="en-CA"/>
        </w:rPr>
      </w:pPr>
      <w:r w:rsidRPr="005D10E0">
        <w:t xml:space="preserve">Figure </w:t>
      </w:r>
      <w:r w:rsidR="00575D0C">
        <w:fldChar w:fldCharType="begin"/>
      </w:r>
      <w:r w:rsidR="00D83B7F">
        <w:instrText xml:space="preserve"> SEQ Figure \* ARABIC </w:instrText>
      </w:r>
      <w:r w:rsidR="00575D0C">
        <w:fldChar w:fldCharType="separate"/>
      </w:r>
      <w:r w:rsidR="00F937E4">
        <w:rPr>
          <w:noProof/>
        </w:rPr>
        <w:t>7</w:t>
      </w:r>
      <w:r w:rsidR="00575D0C">
        <w:rPr>
          <w:noProof/>
        </w:rPr>
        <w:fldChar w:fldCharType="end"/>
      </w:r>
      <w:r w:rsidRPr="005D10E0">
        <w:t>:</w:t>
      </w:r>
      <w:r w:rsidRPr="005D10E0">
        <w:rPr>
          <w:rFonts w:eastAsia="Times New Roman" w:cs="Arial"/>
          <w:bCs/>
          <w:color w:val="auto"/>
          <w:lang w:eastAsia="en-CA"/>
        </w:rPr>
        <w:t xml:space="preserve"> 5 Year Percentage Change of Dwelling Units by Structure Type, Greater Toronto and Hamilton Area, 2011-2016</w:t>
      </w: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r w:rsidRPr="005D10E0">
        <w:rPr>
          <w:rFonts w:eastAsia="Times New Roman" w:cs="Arial"/>
          <w:bCs/>
          <w:noProof/>
          <w:color w:val="auto"/>
          <w:lang w:eastAsia="en-CA"/>
        </w:rPr>
        <w:drawing>
          <wp:inline distT="0" distB="0" distL="0" distR="0">
            <wp:extent cx="5675119" cy="3306726"/>
            <wp:effectExtent l="19050" t="0" r="1781" b="0"/>
            <wp:docPr id="22" name="Picture 7" descr="Graph: 5 Year Percentage Change of Dwelling Units by Structure Type, Greater Toronto and Hamilton Area, 2011-2016&#10;Summary: This graph shows the percentage change in dwelling units by structure type for the Greater Toronto and Hamilton Area for the five year period between 2011 and 2016 based on Census data. For more information, please contact Michael Wright at 416-392-7558 or Michael.Wright@toronto.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Year Change (Percent).jpg"/>
                    <pic:cNvPicPr/>
                  </pic:nvPicPr>
                  <pic:blipFill>
                    <a:blip r:embed="rId31" cstate="print"/>
                    <a:srcRect l="2615" t="12435" r="16023" b="12218"/>
                    <a:stretch>
                      <a:fillRect/>
                    </a:stretch>
                  </pic:blipFill>
                  <pic:spPr>
                    <a:xfrm>
                      <a:off x="0" y="0"/>
                      <a:ext cx="5675119" cy="3306726"/>
                    </a:xfrm>
                    <a:prstGeom prst="rect">
                      <a:avLst/>
                    </a:prstGeom>
                  </pic:spPr>
                </pic:pic>
              </a:graphicData>
            </a:graphic>
          </wp:inline>
        </w:drawing>
      </w:r>
      <w:r w:rsidRPr="005D10E0">
        <w:rPr>
          <w:rFonts w:eastAsia="Times New Roman" w:cs="Arial"/>
          <w:bCs/>
          <w:color w:val="auto"/>
          <w:lang w:eastAsia="en-CA"/>
        </w:rPr>
        <w:t xml:space="preserve"> </w:t>
      </w: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color w:val="auto"/>
          <w:sz w:val="16"/>
          <w:szCs w:val="16"/>
          <w:lang w:eastAsia="en-CA"/>
        </w:rPr>
      </w:pPr>
      <w:r w:rsidRPr="005D10E0">
        <w:rPr>
          <w:rFonts w:eastAsia="Times New Roman" w:cs="Arial"/>
          <w:color w:val="auto"/>
          <w:sz w:val="16"/>
          <w:szCs w:val="16"/>
          <w:lang w:eastAsia="en-CA"/>
        </w:rPr>
        <w:t>Source: Statistics Canada, 1996-2016 Censuses. Source: Statistics Canada, 1996-2016 Censuses</w:t>
      </w:r>
    </w:p>
    <w:p w:rsidR="006A7786" w:rsidRPr="005D10E0" w:rsidRDefault="006A7786" w:rsidP="006A7786">
      <w:pPr>
        <w:rPr>
          <w:rFonts w:eastAsia="Times New Roman" w:cs="Arial"/>
          <w:color w:val="auto"/>
          <w:sz w:val="16"/>
          <w:szCs w:val="16"/>
          <w:lang w:eastAsia="en-CA"/>
        </w:rPr>
      </w:pPr>
    </w:p>
    <w:p w:rsidR="006A7786" w:rsidRPr="005D10E0" w:rsidRDefault="006A7786" w:rsidP="006A7786">
      <w:pPr>
        <w:rPr>
          <w:rFonts w:eastAsia="Times New Roman" w:cs="Arial"/>
          <w:bCs/>
          <w:color w:val="auto"/>
          <w:lang w:eastAsia="en-CA"/>
        </w:rPr>
      </w:pPr>
      <w:r>
        <w:lastRenderedPageBreak/>
        <w:t xml:space="preserve">Table </w:t>
      </w:r>
      <w:r w:rsidR="00575D0C">
        <w:fldChar w:fldCharType="begin"/>
      </w:r>
      <w:r w:rsidR="00D83B7F">
        <w:instrText xml:space="preserve"> SEQ Table \* ARABIC </w:instrText>
      </w:r>
      <w:r w:rsidR="00575D0C">
        <w:fldChar w:fldCharType="separate"/>
      </w:r>
      <w:r w:rsidR="00F937E4">
        <w:rPr>
          <w:noProof/>
        </w:rPr>
        <w:t>8</w:t>
      </w:r>
      <w:r w:rsidR="00575D0C">
        <w:rPr>
          <w:noProof/>
        </w:rPr>
        <w:fldChar w:fldCharType="end"/>
      </w:r>
      <w:r>
        <w:t>:</w:t>
      </w:r>
      <w:r w:rsidRPr="009E3026">
        <w:rPr>
          <w:rFonts w:eastAsia="Times New Roman" w:cs="Arial"/>
          <w:bCs/>
          <w:color w:val="auto"/>
          <w:lang w:eastAsia="en-CA"/>
        </w:rPr>
        <w:t xml:space="preserve"> </w:t>
      </w:r>
      <w:r w:rsidRPr="005D10E0">
        <w:rPr>
          <w:rFonts w:eastAsia="Times New Roman" w:cs="Arial"/>
          <w:bCs/>
          <w:color w:val="auto"/>
          <w:lang w:eastAsia="en-CA"/>
        </w:rPr>
        <w:t>Total Occupied Private Dwellings in the Greater Toronto and Hamilton Area, 2016</w:t>
      </w:r>
    </w:p>
    <w:p w:rsidR="006A7786" w:rsidRDefault="006A7786" w:rsidP="006A7786">
      <w:pPr>
        <w:pStyle w:val="Caption"/>
        <w:keepNext/>
      </w:pPr>
    </w:p>
    <w:p w:rsidR="006A7786" w:rsidRPr="005D10E0" w:rsidRDefault="006A7786" w:rsidP="006A7786">
      <w:pPr>
        <w:rPr>
          <w:rFonts w:eastAsia="Times New Roman" w:cs="Arial"/>
          <w:bCs/>
          <w:color w:val="auto"/>
          <w:lang w:eastAsia="en-CA"/>
        </w:rPr>
      </w:pPr>
      <w:r w:rsidRPr="005D10E0">
        <w:rPr>
          <w:noProof/>
          <w:lang w:eastAsia="en-CA"/>
        </w:rPr>
        <w:drawing>
          <wp:inline distT="0" distB="0" distL="0" distR="0">
            <wp:extent cx="5943600" cy="1174879"/>
            <wp:effectExtent l="19050" t="0" r="0" b="0"/>
            <wp:docPr id="34" name="Picture 1" descr="Table: Total Occupied Private Dwellings in the Greater Toronto and Hamilton Area, 2016&#10;Summary: This table shows the total number of dwelling units by structure type for Toronto, Durham, York, Peel, Halton, Hamilton, the Rest of the GTHA and the GTHA as a whole region in 2016 based on Census data. For more information, please contact Michael Wright at 416-392-7558 or Michael.Wright@toronto.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943600" cy="1174879"/>
                    </a:xfrm>
                    <a:prstGeom prst="rect">
                      <a:avLst/>
                    </a:prstGeom>
                    <a:noFill/>
                    <a:ln w="9525">
                      <a:noFill/>
                      <a:miter lim="800000"/>
                      <a:headEnd/>
                      <a:tailEnd/>
                    </a:ln>
                  </pic:spPr>
                </pic:pic>
              </a:graphicData>
            </a:graphic>
          </wp:inline>
        </w:drawing>
      </w: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color w:val="auto"/>
          <w:sz w:val="16"/>
          <w:szCs w:val="16"/>
          <w:lang w:eastAsia="en-CA"/>
        </w:rPr>
      </w:pPr>
      <w:r w:rsidRPr="005D10E0">
        <w:rPr>
          <w:rFonts w:eastAsia="Times New Roman" w:cs="Arial"/>
          <w:color w:val="auto"/>
          <w:sz w:val="16"/>
          <w:szCs w:val="16"/>
          <w:lang w:eastAsia="en-CA"/>
        </w:rPr>
        <w:t>Source: Statistics Canada, 2016 Censuses</w:t>
      </w: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r w:rsidRPr="005D10E0">
        <w:t xml:space="preserve">Figure </w:t>
      </w:r>
      <w:r w:rsidR="00575D0C">
        <w:fldChar w:fldCharType="begin"/>
      </w:r>
      <w:r w:rsidR="00D83B7F">
        <w:instrText xml:space="preserve"> SEQ Figure \* ARABIC </w:instrText>
      </w:r>
      <w:r w:rsidR="00575D0C">
        <w:fldChar w:fldCharType="separate"/>
      </w:r>
      <w:r w:rsidR="00F937E4">
        <w:rPr>
          <w:noProof/>
        </w:rPr>
        <w:t>8</w:t>
      </w:r>
      <w:r w:rsidR="00575D0C">
        <w:rPr>
          <w:noProof/>
        </w:rPr>
        <w:fldChar w:fldCharType="end"/>
      </w:r>
      <w:r w:rsidRPr="005D10E0">
        <w:t>:</w:t>
      </w:r>
      <w:r w:rsidRPr="005D10E0">
        <w:rPr>
          <w:rFonts w:eastAsia="Times New Roman" w:cs="Arial"/>
          <w:bCs/>
          <w:color w:val="auto"/>
          <w:lang w:eastAsia="en-CA"/>
        </w:rPr>
        <w:t xml:space="preserve"> Total Occupied Private Dwellings in the Greater Toronto and Hamilton Area, 2016</w:t>
      </w:r>
    </w:p>
    <w:p w:rsidR="006A7786" w:rsidRPr="005D10E0" w:rsidRDefault="006A7786" w:rsidP="006A7786">
      <w:pPr>
        <w:jc w:val="center"/>
        <w:rPr>
          <w:rFonts w:eastAsia="Times New Roman" w:cs="Arial"/>
          <w:bCs/>
          <w:color w:val="auto"/>
          <w:lang w:eastAsia="en-CA"/>
        </w:rPr>
      </w:pPr>
      <w:r w:rsidRPr="005D10E0">
        <w:rPr>
          <w:rFonts w:eastAsia="Times New Roman" w:cs="Arial"/>
          <w:bCs/>
          <w:noProof/>
          <w:color w:val="auto"/>
          <w:lang w:eastAsia="en-CA"/>
        </w:rPr>
        <w:drawing>
          <wp:inline distT="0" distB="0" distL="0" distR="0">
            <wp:extent cx="5213416" cy="5337544"/>
            <wp:effectExtent l="19050" t="0" r="6284" b="0"/>
            <wp:docPr id="26" name="Picture 10" descr="Graph: Total Occupied Private Dwellings in the Greater Toronto and Hamilton Area, 2016&#10;Summary: This graph shows the total number of dwelling units by structure type for Toronto, Durham, York, Peel, Halton, Hamilton, the Rest of the GTHA and the GTHA as a whole region in 2016 based on Census data. For more information, please contact Michael Wright at 416-392-7558 or Michael.Wright@toronto.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f Dwellings - GTHA.jpg"/>
                    <pic:cNvPicPr/>
                  </pic:nvPicPr>
                  <pic:blipFill>
                    <a:blip r:embed="rId33" cstate="print"/>
                    <a:srcRect l="5344" t="9483" r="20413" b="7112"/>
                    <a:stretch>
                      <a:fillRect/>
                    </a:stretch>
                  </pic:blipFill>
                  <pic:spPr>
                    <a:xfrm>
                      <a:off x="0" y="0"/>
                      <a:ext cx="5219057" cy="5343319"/>
                    </a:xfrm>
                    <a:prstGeom prst="rect">
                      <a:avLst/>
                    </a:prstGeom>
                  </pic:spPr>
                </pic:pic>
              </a:graphicData>
            </a:graphic>
          </wp:inline>
        </w:drawing>
      </w:r>
    </w:p>
    <w:p w:rsidR="006A7786" w:rsidRPr="005D10E0" w:rsidRDefault="006A7786" w:rsidP="006A7786">
      <w:pPr>
        <w:rPr>
          <w:rFonts w:eastAsia="Times New Roman" w:cs="Arial"/>
          <w:bCs/>
          <w:color w:val="auto"/>
          <w:lang w:eastAsia="en-CA"/>
        </w:rPr>
      </w:pPr>
    </w:p>
    <w:p w:rsidR="006A7786" w:rsidRPr="005D10E0" w:rsidRDefault="006A7786" w:rsidP="006A7786">
      <w:pPr>
        <w:jc w:val="center"/>
        <w:rPr>
          <w:rFonts w:eastAsia="Times New Roman" w:cs="Arial"/>
          <w:color w:val="auto"/>
          <w:sz w:val="16"/>
          <w:szCs w:val="16"/>
          <w:lang w:eastAsia="en-CA"/>
        </w:rPr>
      </w:pPr>
      <w:r w:rsidRPr="005D10E0">
        <w:rPr>
          <w:rFonts w:eastAsia="Times New Roman" w:cs="Arial"/>
          <w:color w:val="auto"/>
          <w:sz w:val="16"/>
          <w:szCs w:val="16"/>
          <w:lang w:eastAsia="en-CA"/>
        </w:rPr>
        <w:t>Source: Statistics Canada, 2016 Censuses</w:t>
      </w:r>
    </w:p>
    <w:p w:rsidR="006A7786" w:rsidRPr="005D10E0" w:rsidRDefault="006A7786" w:rsidP="006A7786">
      <w:pPr>
        <w:rPr>
          <w:rFonts w:eastAsia="Times New Roman" w:cs="Arial"/>
          <w:color w:val="auto"/>
          <w:sz w:val="16"/>
          <w:szCs w:val="16"/>
          <w:lang w:eastAsia="en-CA"/>
        </w:rPr>
      </w:pPr>
    </w:p>
    <w:p w:rsidR="006A7786" w:rsidRPr="005D10E0" w:rsidRDefault="006A7786" w:rsidP="006A7786">
      <w:pPr>
        <w:rPr>
          <w:rFonts w:eastAsia="Times New Roman" w:cs="Arial"/>
          <w:bCs/>
          <w:color w:val="auto"/>
          <w:lang w:eastAsia="en-CA"/>
        </w:rPr>
      </w:pPr>
      <w:r>
        <w:lastRenderedPageBreak/>
        <w:t xml:space="preserve">Table </w:t>
      </w:r>
      <w:r w:rsidR="00575D0C">
        <w:fldChar w:fldCharType="begin"/>
      </w:r>
      <w:r w:rsidR="00D83B7F">
        <w:instrText xml:space="preserve"> SEQ Table \* ARABIC </w:instrText>
      </w:r>
      <w:r w:rsidR="00575D0C">
        <w:fldChar w:fldCharType="separate"/>
      </w:r>
      <w:r w:rsidR="00F937E4">
        <w:rPr>
          <w:noProof/>
        </w:rPr>
        <w:t>9</w:t>
      </w:r>
      <w:r w:rsidR="00575D0C">
        <w:rPr>
          <w:noProof/>
        </w:rPr>
        <w:fldChar w:fldCharType="end"/>
      </w:r>
      <w:r>
        <w:t>:</w:t>
      </w:r>
      <w:r w:rsidRPr="009E3026">
        <w:rPr>
          <w:rFonts w:eastAsia="Times New Roman" w:cs="Arial"/>
          <w:bCs/>
          <w:color w:val="auto"/>
          <w:lang w:eastAsia="en-CA"/>
        </w:rPr>
        <w:t xml:space="preserve"> </w:t>
      </w:r>
      <w:r w:rsidRPr="005D10E0">
        <w:rPr>
          <w:rFonts w:eastAsia="Times New Roman" w:cs="Arial"/>
          <w:bCs/>
          <w:color w:val="auto"/>
          <w:lang w:eastAsia="en-CA"/>
        </w:rPr>
        <w:t>Percent of Dwelling Units By Structure Type, Greater Toronto and Hamilton Area, 1996-2016</w:t>
      </w:r>
    </w:p>
    <w:p w:rsidR="006A7786" w:rsidRDefault="006A7786" w:rsidP="006A7786">
      <w:pPr>
        <w:pStyle w:val="Caption"/>
        <w:keepNext/>
      </w:pPr>
    </w:p>
    <w:p w:rsidR="006A7786" w:rsidRPr="005D10E0" w:rsidRDefault="006A7786" w:rsidP="006A7786">
      <w:r w:rsidRPr="005D10E0">
        <w:rPr>
          <w:noProof/>
          <w:lang w:eastAsia="en-CA"/>
        </w:rPr>
        <w:drawing>
          <wp:inline distT="0" distB="0" distL="0" distR="0">
            <wp:extent cx="5943600" cy="1300163"/>
            <wp:effectExtent l="19050" t="0" r="0" b="0"/>
            <wp:docPr id="28" name="Picture 3" descr="Table: Percent of Dwelling Units By Structure Type, Greater Toronto and Hamilton Area, 1996-2016&#10;Summary: This table shows the percent of dwelling units by structure type for Toronto, the Rest of the GTHA and the GTHA as a whole region for the years 1996, 2006, 2011 and 2016 based on Census data. For more information, please contact Michael Wright at 416-392-7558 or Michael.Wright@toronto.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943600" cy="1300163"/>
                    </a:xfrm>
                    <a:prstGeom prst="rect">
                      <a:avLst/>
                    </a:prstGeom>
                    <a:noFill/>
                    <a:ln w="9525">
                      <a:noFill/>
                      <a:miter lim="800000"/>
                      <a:headEnd/>
                      <a:tailEnd/>
                    </a:ln>
                  </pic:spPr>
                </pic:pic>
              </a:graphicData>
            </a:graphic>
          </wp:inline>
        </w:drawing>
      </w:r>
    </w:p>
    <w:p w:rsidR="006A7786" w:rsidRPr="005D10E0" w:rsidRDefault="006A7786" w:rsidP="006A7786">
      <w:pPr>
        <w:rPr>
          <w:rFonts w:eastAsia="Times New Roman" w:cs="Arial"/>
          <w:color w:val="auto"/>
          <w:sz w:val="16"/>
          <w:szCs w:val="16"/>
          <w:lang w:eastAsia="en-CA"/>
        </w:rPr>
      </w:pPr>
    </w:p>
    <w:p w:rsidR="006A7786" w:rsidRPr="005D10E0" w:rsidRDefault="006A7786" w:rsidP="006A7786">
      <w:pPr>
        <w:rPr>
          <w:rFonts w:eastAsia="Times New Roman" w:cs="Arial"/>
          <w:color w:val="auto"/>
          <w:sz w:val="16"/>
          <w:szCs w:val="16"/>
          <w:lang w:eastAsia="en-CA"/>
        </w:rPr>
      </w:pPr>
      <w:r w:rsidRPr="005D10E0">
        <w:rPr>
          <w:rFonts w:eastAsia="Times New Roman" w:cs="Arial"/>
          <w:color w:val="auto"/>
          <w:sz w:val="16"/>
          <w:szCs w:val="16"/>
          <w:lang w:eastAsia="en-CA"/>
        </w:rPr>
        <w:t>Source: Statistics Canada, 1996-2016 Censuses</w:t>
      </w:r>
    </w:p>
    <w:p w:rsidR="006A7786" w:rsidRPr="005D10E0" w:rsidRDefault="006A7786" w:rsidP="006A7786">
      <w:pPr>
        <w:rPr>
          <w:rFonts w:eastAsia="Times New Roman" w:cs="Arial"/>
          <w:color w:val="auto"/>
          <w:sz w:val="16"/>
          <w:szCs w:val="16"/>
          <w:lang w:eastAsia="en-CA"/>
        </w:rPr>
      </w:pPr>
    </w:p>
    <w:p w:rsidR="006A7786" w:rsidRPr="005D10E0" w:rsidRDefault="006A7786" w:rsidP="006A7786">
      <w:pPr>
        <w:rPr>
          <w:rFonts w:eastAsia="Times New Roman" w:cs="Arial"/>
          <w:color w:val="auto"/>
          <w:sz w:val="16"/>
          <w:szCs w:val="16"/>
          <w:lang w:eastAsia="en-CA"/>
        </w:rPr>
      </w:pPr>
    </w:p>
    <w:p w:rsidR="006A7786" w:rsidRPr="005D10E0" w:rsidRDefault="006A7786" w:rsidP="006A7786">
      <w:pPr>
        <w:rPr>
          <w:rFonts w:eastAsia="Times New Roman" w:cs="Arial"/>
          <w:bCs/>
          <w:color w:val="auto"/>
          <w:lang w:eastAsia="en-CA"/>
        </w:rPr>
      </w:pPr>
      <w:r w:rsidRPr="005D10E0">
        <w:t xml:space="preserve">Figure </w:t>
      </w:r>
      <w:r w:rsidR="00575D0C">
        <w:fldChar w:fldCharType="begin"/>
      </w:r>
      <w:r w:rsidR="00D83B7F">
        <w:instrText xml:space="preserve"> SEQ Figure \* ARABIC </w:instrText>
      </w:r>
      <w:r w:rsidR="00575D0C">
        <w:fldChar w:fldCharType="separate"/>
      </w:r>
      <w:r w:rsidR="00F937E4">
        <w:rPr>
          <w:noProof/>
        </w:rPr>
        <w:t>9</w:t>
      </w:r>
      <w:r w:rsidR="00575D0C">
        <w:rPr>
          <w:noProof/>
        </w:rPr>
        <w:fldChar w:fldCharType="end"/>
      </w:r>
      <w:r w:rsidRPr="005D10E0">
        <w:t>:</w:t>
      </w:r>
      <w:r w:rsidRPr="005D10E0">
        <w:rPr>
          <w:rFonts w:eastAsia="Times New Roman" w:cs="Arial"/>
          <w:bCs/>
          <w:color w:val="auto"/>
          <w:lang w:eastAsia="en-CA"/>
        </w:rPr>
        <w:t xml:space="preserve"> Percent of Dwelling Units By Structure Type, Toronto, 1996-2016</w:t>
      </w:r>
    </w:p>
    <w:p w:rsidR="006A7786" w:rsidRPr="005D10E0" w:rsidRDefault="006A7786" w:rsidP="006A7786">
      <w:pPr>
        <w:pStyle w:val="Caption"/>
        <w:keepNext/>
      </w:pPr>
    </w:p>
    <w:p w:rsidR="006A7786" w:rsidRPr="005D10E0" w:rsidRDefault="006A7786" w:rsidP="006A7786">
      <w:pPr>
        <w:rPr>
          <w:rFonts w:eastAsia="Times New Roman" w:cs="Arial"/>
          <w:color w:val="auto"/>
          <w:sz w:val="16"/>
          <w:szCs w:val="16"/>
          <w:lang w:eastAsia="en-CA"/>
        </w:rPr>
      </w:pPr>
      <w:r w:rsidRPr="005D10E0">
        <w:rPr>
          <w:rFonts w:eastAsia="Times New Roman" w:cs="Arial"/>
          <w:noProof/>
          <w:color w:val="auto"/>
          <w:sz w:val="16"/>
          <w:szCs w:val="16"/>
          <w:lang w:eastAsia="en-CA"/>
        </w:rPr>
        <w:drawing>
          <wp:inline distT="0" distB="0" distL="0" distR="0">
            <wp:extent cx="5947551" cy="4231758"/>
            <wp:effectExtent l="19050" t="0" r="0" b="0"/>
            <wp:docPr id="30" name="Picture 29" descr="Graph: Percent of Dwelling Units By Structure Type, Toronto, 1996-2016&#10;Summary: This graph shows the percentage change of dwelling units by structure type for Toronto, for the years 1996, 2006, 2011 and 2016 based on Census data. For more information, please contact Michael Wright at 416-392-7558 or Michael.Wright@toronto.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 of Dwelling Units by Structure Type.jpg"/>
                    <pic:cNvPicPr/>
                  </pic:nvPicPr>
                  <pic:blipFill>
                    <a:blip r:embed="rId35" cstate="print"/>
                    <a:srcRect l="2360" t="8313" r="27691" b="10724"/>
                    <a:stretch>
                      <a:fillRect/>
                    </a:stretch>
                  </pic:blipFill>
                  <pic:spPr>
                    <a:xfrm>
                      <a:off x="0" y="0"/>
                      <a:ext cx="5947551" cy="4231758"/>
                    </a:xfrm>
                    <a:prstGeom prst="rect">
                      <a:avLst/>
                    </a:prstGeom>
                  </pic:spPr>
                </pic:pic>
              </a:graphicData>
            </a:graphic>
          </wp:inline>
        </w:drawing>
      </w: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color w:val="auto"/>
          <w:sz w:val="16"/>
          <w:szCs w:val="16"/>
          <w:lang w:eastAsia="en-CA"/>
        </w:rPr>
      </w:pPr>
      <w:r w:rsidRPr="005D10E0">
        <w:rPr>
          <w:rFonts w:eastAsia="Times New Roman" w:cs="Arial"/>
          <w:color w:val="auto"/>
          <w:sz w:val="16"/>
          <w:szCs w:val="16"/>
          <w:lang w:eastAsia="en-CA"/>
        </w:rPr>
        <w:t xml:space="preserve">Source: Statistics Canada, 1996-2016 Censuses. </w:t>
      </w: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Default="006A7786" w:rsidP="006A7786">
      <w:pPr>
        <w:pStyle w:val="Caption"/>
        <w:keepNext/>
      </w:pPr>
      <w:r>
        <w:lastRenderedPageBreak/>
        <w:t xml:space="preserve">Table </w:t>
      </w:r>
      <w:r w:rsidR="00575D0C">
        <w:fldChar w:fldCharType="begin"/>
      </w:r>
      <w:r w:rsidR="00D83B7F">
        <w:instrText xml:space="preserve"> SEQ Table \* ARABIC </w:instrText>
      </w:r>
      <w:r w:rsidR="00575D0C">
        <w:fldChar w:fldCharType="separate"/>
      </w:r>
      <w:r w:rsidR="00F937E4">
        <w:rPr>
          <w:noProof/>
        </w:rPr>
        <w:t>10</w:t>
      </w:r>
      <w:r w:rsidR="00575D0C">
        <w:rPr>
          <w:noProof/>
        </w:rPr>
        <w:fldChar w:fldCharType="end"/>
      </w:r>
      <w:r>
        <w:t>:</w:t>
      </w:r>
      <w:r w:rsidRPr="009E3026">
        <w:rPr>
          <w:rFonts w:eastAsia="Times New Roman" w:cs="Arial"/>
          <w:bCs/>
          <w:color w:val="auto"/>
          <w:lang w:eastAsia="en-CA"/>
        </w:rPr>
        <w:t xml:space="preserve"> </w:t>
      </w:r>
      <w:r w:rsidRPr="005D10E0">
        <w:rPr>
          <w:rFonts w:eastAsia="Times New Roman" w:cs="Arial"/>
          <w:bCs/>
          <w:color w:val="auto"/>
          <w:lang w:eastAsia="en-CA"/>
        </w:rPr>
        <w:t>Percent Change of Dwelling Units By Structure Type, Greater Toronto and Hamilton Area, 2006-2016</w:t>
      </w:r>
    </w:p>
    <w:p w:rsidR="006A7786" w:rsidRPr="005D10E0" w:rsidRDefault="006A7786" w:rsidP="006A7786">
      <w:r w:rsidRPr="005D10E0">
        <w:rPr>
          <w:noProof/>
          <w:lang w:eastAsia="en-CA"/>
        </w:rPr>
        <w:drawing>
          <wp:inline distT="0" distB="0" distL="0" distR="0">
            <wp:extent cx="5810250" cy="1752600"/>
            <wp:effectExtent l="19050" t="0" r="0" b="0"/>
            <wp:docPr id="29" name="Picture 11" descr="Table: Percent Change of Dwelling Units By Structure Type, Greater Toronto and Hamilton Area, 2006-2016&#10;Summary: This table shows the percent change of dwelling units by structure type for Toronto, the Rest of the GTHA and the GTHA as a whole region for three periods:  2006 to 2011, 2011 to 2016 and 2006 and 2016, based on Census data. For more information, please contact Michael Wright at 416-392-7558 or Michael.Wright@toronto.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810250" cy="1752600"/>
                    </a:xfrm>
                    <a:prstGeom prst="rect">
                      <a:avLst/>
                    </a:prstGeom>
                    <a:noFill/>
                    <a:ln w="9525">
                      <a:noFill/>
                      <a:miter lim="800000"/>
                      <a:headEnd/>
                      <a:tailEnd/>
                    </a:ln>
                  </pic:spPr>
                </pic:pic>
              </a:graphicData>
            </a:graphic>
          </wp:inline>
        </w:drawing>
      </w:r>
    </w:p>
    <w:p w:rsidR="006A7786" w:rsidRPr="005D10E0" w:rsidRDefault="006A7786" w:rsidP="006A7786">
      <w:pPr>
        <w:rPr>
          <w:rFonts w:eastAsia="Times New Roman" w:cs="Arial"/>
          <w:color w:val="auto"/>
          <w:sz w:val="16"/>
          <w:szCs w:val="16"/>
          <w:lang w:eastAsia="en-CA"/>
        </w:rPr>
      </w:pPr>
    </w:p>
    <w:p w:rsidR="006A7786" w:rsidRPr="005D10E0" w:rsidRDefault="006A7786" w:rsidP="006A7786">
      <w:pPr>
        <w:rPr>
          <w:rFonts w:eastAsia="Times New Roman" w:cs="Arial"/>
          <w:color w:val="auto"/>
          <w:sz w:val="16"/>
          <w:szCs w:val="16"/>
          <w:lang w:eastAsia="en-CA"/>
        </w:rPr>
      </w:pPr>
      <w:r w:rsidRPr="005D10E0">
        <w:rPr>
          <w:rFonts w:eastAsia="Times New Roman" w:cs="Arial"/>
          <w:color w:val="auto"/>
          <w:sz w:val="16"/>
          <w:szCs w:val="16"/>
          <w:lang w:eastAsia="en-CA"/>
        </w:rPr>
        <w:t>Source: Statistics Canada, 2006-2016 Censuses</w:t>
      </w:r>
    </w:p>
    <w:p w:rsidR="006A7786" w:rsidRPr="005D10E0" w:rsidRDefault="006A7786" w:rsidP="006A7786">
      <w:pPr>
        <w:rPr>
          <w:rFonts w:eastAsia="Times New Roman" w:cs="Arial"/>
          <w:color w:val="auto"/>
          <w:sz w:val="16"/>
          <w:szCs w:val="16"/>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Default="006A7786" w:rsidP="006A7786">
      <w:pPr>
        <w:pStyle w:val="Caption"/>
        <w:keepNext/>
      </w:pPr>
      <w:r>
        <w:lastRenderedPageBreak/>
        <w:t xml:space="preserve">Table </w:t>
      </w:r>
      <w:r w:rsidR="00575D0C">
        <w:fldChar w:fldCharType="begin"/>
      </w:r>
      <w:r w:rsidR="00D83B7F">
        <w:instrText xml:space="preserve"> SEQ Table \* ARABIC </w:instrText>
      </w:r>
      <w:r w:rsidR="00575D0C">
        <w:fldChar w:fldCharType="separate"/>
      </w:r>
      <w:r w:rsidR="00F937E4">
        <w:rPr>
          <w:noProof/>
        </w:rPr>
        <w:t>11</w:t>
      </w:r>
      <w:r w:rsidR="00575D0C">
        <w:rPr>
          <w:noProof/>
        </w:rPr>
        <w:fldChar w:fldCharType="end"/>
      </w:r>
      <w:r>
        <w:t>:</w:t>
      </w:r>
      <w:r w:rsidRPr="009E3026">
        <w:rPr>
          <w:rFonts w:eastAsia="Times New Roman" w:cs="Arial"/>
          <w:bCs/>
          <w:color w:val="auto"/>
          <w:lang w:eastAsia="en-CA"/>
        </w:rPr>
        <w:t xml:space="preserve"> </w:t>
      </w:r>
      <w:r w:rsidRPr="005D10E0">
        <w:rPr>
          <w:rFonts w:eastAsia="Times New Roman" w:cs="Arial"/>
          <w:bCs/>
          <w:color w:val="auto"/>
          <w:lang w:eastAsia="en-CA"/>
        </w:rPr>
        <w:t>Private Households by Household Size, Toronto, 1996-2016</w:t>
      </w:r>
    </w:p>
    <w:p w:rsidR="006A7786" w:rsidRPr="005D10E0" w:rsidRDefault="006A7786" w:rsidP="006A7786">
      <w:r w:rsidRPr="005D10E0">
        <w:rPr>
          <w:noProof/>
          <w:lang w:eastAsia="en-CA"/>
        </w:rPr>
        <w:drawing>
          <wp:inline distT="0" distB="0" distL="0" distR="0">
            <wp:extent cx="5943600" cy="2201165"/>
            <wp:effectExtent l="19050" t="0" r="0" b="0"/>
            <wp:docPr id="45" name="Picture 13" descr="Table: Private Households by Household Size, Toronto, 1996-2016 &#10;Summary: This table shows the number and the percent change of private households by household size for Toronto, for the years 1996, 2006, 2011 and 2016 based on Census data.  For more information, please contact Michael Wright at 416-392-7558 or Michael.Wright@toronto.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5943600" cy="2201165"/>
                    </a:xfrm>
                    <a:prstGeom prst="rect">
                      <a:avLst/>
                    </a:prstGeom>
                    <a:noFill/>
                    <a:ln w="9525">
                      <a:noFill/>
                      <a:miter lim="800000"/>
                      <a:headEnd/>
                      <a:tailEnd/>
                    </a:ln>
                  </pic:spPr>
                </pic:pic>
              </a:graphicData>
            </a:graphic>
          </wp:inline>
        </w:drawing>
      </w:r>
    </w:p>
    <w:p w:rsidR="006A7786" w:rsidRPr="005D10E0" w:rsidRDefault="006A7786" w:rsidP="006A7786"/>
    <w:p w:rsidR="006A7786" w:rsidRPr="005D10E0" w:rsidRDefault="006A7786" w:rsidP="006A7786">
      <w:pPr>
        <w:rPr>
          <w:rFonts w:eastAsia="Times New Roman" w:cs="Arial"/>
          <w:color w:val="auto"/>
          <w:sz w:val="16"/>
          <w:szCs w:val="16"/>
          <w:lang w:eastAsia="en-CA"/>
        </w:rPr>
      </w:pPr>
      <w:r w:rsidRPr="005D10E0">
        <w:rPr>
          <w:rFonts w:eastAsia="Times New Roman" w:cs="Arial"/>
          <w:color w:val="auto"/>
          <w:sz w:val="16"/>
          <w:szCs w:val="16"/>
          <w:lang w:eastAsia="en-CA"/>
        </w:rPr>
        <w:t>Source: Statistics Canada, 1996-2016 Censuses</w:t>
      </w:r>
    </w:p>
    <w:p w:rsidR="006A7786" w:rsidRPr="005D10E0" w:rsidRDefault="006A7786" w:rsidP="006A7786">
      <w:pPr>
        <w:rPr>
          <w:rFonts w:eastAsia="Times New Roman" w:cs="Arial"/>
          <w:color w:val="auto"/>
          <w:sz w:val="16"/>
          <w:szCs w:val="16"/>
          <w:lang w:eastAsia="en-CA"/>
        </w:rPr>
      </w:pPr>
    </w:p>
    <w:p w:rsidR="006A7786" w:rsidRPr="005D10E0" w:rsidRDefault="006A7786" w:rsidP="006A7786">
      <w:pPr>
        <w:jc w:val="center"/>
        <w:rPr>
          <w:rFonts w:eastAsia="Times New Roman" w:cs="Arial"/>
          <w:bCs/>
          <w:color w:val="auto"/>
          <w:lang w:eastAsia="en-CA"/>
        </w:rPr>
      </w:pPr>
    </w:p>
    <w:p w:rsidR="006A7786" w:rsidRPr="005D10E0" w:rsidRDefault="006A7786" w:rsidP="006A7786">
      <w:pPr>
        <w:jc w:val="center"/>
        <w:rPr>
          <w:rFonts w:eastAsia="Times New Roman" w:cs="Arial"/>
          <w:bCs/>
          <w:color w:val="auto"/>
          <w:lang w:eastAsia="en-CA"/>
        </w:rPr>
      </w:pPr>
      <w:r w:rsidRPr="005D10E0">
        <w:t xml:space="preserve">Figure </w:t>
      </w:r>
      <w:r w:rsidR="00575D0C">
        <w:fldChar w:fldCharType="begin"/>
      </w:r>
      <w:r w:rsidR="00D83B7F">
        <w:instrText xml:space="preserve"> SEQ Figure \* ARABIC </w:instrText>
      </w:r>
      <w:r w:rsidR="00575D0C">
        <w:fldChar w:fldCharType="separate"/>
      </w:r>
      <w:r w:rsidR="00F937E4">
        <w:rPr>
          <w:noProof/>
        </w:rPr>
        <w:t>10</w:t>
      </w:r>
      <w:r w:rsidR="00575D0C">
        <w:rPr>
          <w:noProof/>
        </w:rPr>
        <w:fldChar w:fldCharType="end"/>
      </w:r>
      <w:r w:rsidRPr="005D10E0">
        <w:t>:</w:t>
      </w:r>
      <w:r w:rsidRPr="005D10E0">
        <w:rPr>
          <w:rFonts w:eastAsia="Times New Roman" w:cs="Arial"/>
          <w:bCs/>
          <w:color w:val="auto"/>
          <w:lang w:eastAsia="en-CA"/>
        </w:rPr>
        <w:t xml:space="preserve"> Absolute Change in the Number of Households by Household Size, Toronto, 2011-2016</w:t>
      </w:r>
    </w:p>
    <w:p w:rsidR="006A7786" w:rsidRPr="005D10E0" w:rsidRDefault="006A7786" w:rsidP="006A7786">
      <w:pPr>
        <w:jc w:val="center"/>
        <w:rPr>
          <w:rFonts w:eastAsia="Times New Roman" w:cs="Arial"/>
          <w:color w:val="auto"/>
          <w:sz w:val="16"/>
          <w:szCs w:val="16"/>
          <w:lang w:eastAsia="en-CA"/>
        </w:rPr>
      </w:pPr>
    </w:p>
    <w:p w:rsidR="006A7786" w:rsidRPr="005D10E0" w:rsidRDefault="006A7786" w:rsidP="006A7786">
      <w:pPr>
        <w:jc w:val="center"/>
        <w:rPr>
          <w:rFonts w:eastAsia="Times New Roman" w:cs="Arial"/>
          <w:bCs/>
          <w:color w:val="auto"/>
          <w:lang w:eastAsia="en-CA"/>
        </w:rPr>
      </w:pPr>
      <w:r w:rsidRPr="005D10E0">
        <w:rPr>
          <w:rFonts w:eastAsia="Times New Roman" w:cs="Arial"/>
          <w:bCs/>
          <w:noProof/>
          <w:color w:val="auto"/>
          <w:lang w:eastAsia="en-CA"/>
        </w:rPr>
        <w:drawing>
          <wp:inline distT="0" distB="0" distL="0" distR="0">
            <wp:extent cx="3851201" cy="4421748"/>
            <wp:effectExtent l="19050" t="0" r="0" b="0"/>
            <wp:docPr id="33" name="Picture 32" descr="Graph: Absolute Change in the Number of Households by Household Size, Toronto, 2011-2016&#10;Summary: This graph shows the absolute change of private households by household size between 2006 and 2011 for Toronto, based on Census data.  For more information, please contact Michael Wright at 416-392-7558 or Michael.Wright@toronto.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 in Household Size - 2011-2016.jpg"/>
                    <pic:cNvPicPr/>
                  </pic:nvPicPr>
                  <pic:blipFill>
                    <a:blip r:embed="rId38" cstate="print"/>
                    <a:srcRect l="5765" t="14322" r="24143" b="7789"/>
                    <a:stretch>
                      <a:fillRect/>
                    </a:stretch>
                  </pic:blipFill>
                  <pic:spPr>
                    <a:xfrm>
                      <a:off x="0" y="0"/>
                      <a:ext cx="3858669" cy="4430322"/>
                    </a:xfrm>
                    <a:prstGeom prst="rect">
                      <a:avLst/>
                    </a:prstGeom>
                  </pic:spPr>
                </pic:pic>
              </a:graphicData>
            </a:graphic>
          </wp:inline>
        </w:drawing>
      </w:r>
    </w:p>
    <w:p w:rsidR="006A7786" w:rsidRPr="005D10E0" w:rsidRDefault="006A7786" w:rsidP="006A7786">
      <w:pPr>
        <w:jc w:val="center"/>
        <w:rPr>
          <w:rFonts w:eastAsia="Times New Roman" w:cs="Arial"/>
          <w:color w:val="auto"/>
          <w:sz w:val="16"/>
          <w:szCs w:val="16"/>
          <w:lang w:eastAsia="en-CA"/>
        </w:rPr>
      </w:pPr>
    </w:p>
    <w:p w:rsidR="006A7786" w:rsidRPr="005D10E0" w:rsidRDefault="006A7786" w:rsidP="006A7786">
      <w:pPr>
        <w:jc w:val="center"/>
        <w:rPr>
          <w:rFonts w:eastAsia="Times New Roman" w:cs="Arial"/>
          <w:color w:val="auto"/>
          <w:sz w:val="16"/>
          <w:szCs w:val="16"/>
          <w:lang w:eastAsia="en-CA"/>
        </w:rPr>
      </w:pPr>
    </w:p>
    <w:p w:rsidR="006A7786" w:rsidRPr="005D10E0" w:rsidRDefault="006A7786" w:rsidP="006A7786">
      <w:pPr>
        <w:jc w:val="center"/>
        <w:rPr>
          <w:rFonts w:eastAsia="Times New Roman" w:cs="Arial"/>
          <w:color w:val="auto"/>
          <w:sz w:val="16"/>
          <w:szCs w:val="16"/>
          <w:lang w:eastAsia="en-CA"/>
        </w:rPr>
      </w:pPr>
      <w:r w:rsidRPr="005D10E0">
        <w:rPr>
          <w:rFonts w:eastAsia="Times New Roman" w:cs="Arial"/>
          <w:color w:val="auto"/>
          <w:sz w:val="16"/>
          <w:szCs w:val="16"/>
          <w:lang w:eastAsia="en-CA"/>
        </w:rPr>
        <w:t>Source: Statistics Canada, 2011-2016 Censuses</w:t>
      </w:r>
    </w:p>
    <w:p w:rsidR="006A7786" w:rsidRPr="005D10E0" w:rsidRDefault="006A7786" w:rsidP="006A7786">
      <w:pPr>
        <w:jc w:val="center"/>
        <w:rPr>
          <w:rFonts w:eastAsia="Times New Roman" w:cs="Arial"/>
          <w:color w:val="auto"/>
          <w:sz w:val="16"/>
          <w:szCs w:val="16"/>
          <w:lang w:eastAsia="en-CA"/>
        </w:rPr>
      </w:pPr>
    </w:p>
    <w:p w:rsidR="009545C5" w:rsidRDefault="009545C5" w:rsidP="006A7786">
      <w:pPr>
        <w:jc w:val="center"/>
      </w:pPr>
    </w:p>
    <w:p w:rsidR="006A7786" w:rsidRPr="005D10E0" w:rsidRDefault="006A7786" w:rsidP="006A7786">
      <w:pPr>
        <w:jc w:val="center"/>
        <w:rPr>
          <w:rFonts w:eastAsia="Times New Roman" w:cs="Arial"/>
          <w:bCs/>
          <w:color w:val="auto"/>
          <w:lang w:eastAsia="en-CA"/>
        </w:rPr>
      </w:pPr>
      <w:r w:rsidRPr="005D10E0">
        <w:lastRenderedPageBreak/>
        <w:t xml:space="preserve">Figure </w:t>
      </w:r>
      <w:r w:rsidR="00575D0C">
        <w:fldChar w:fldCharType="begin"/>
      </w:r>
      <w:r w:rsidR="00D83B7F">
        <w:instrText xml:space="preserve"> SEQ Figure \* ARABIC </w:instrText>
      </w:r>
      <w:r w:rsidR="00575D0C">
        <w:fldChar w:fldCharType="separate"/>
      </w:r>
      <w:r w:rsidR="00F937E4">
        <w:rPr>
          <w:noProof/>
        </w:rPr>
        <w:t>11</w:t>
      </w:r>
      <w:r w:rsidR="00575D0C">
        <w:rPr>
          <w:noProof/>
        </w:rPr>
        <w:fldChar w:fldCharType="end"/>
      </w:r>
      <w:r w:rsidRPr="005D10E0">
        <w:t>:</w:t>
      </w:r>
      <w:r w:rsidRPr="005D10E0">
        <w:rPr>
          <w:rFonts w:eastAsia="Times New Roman" w:cs="Arial"/>
          <w:bCs/>
          <w:color w:val="auto"/>
          <w:lang w:eastAsia="en-CA"/>
        </w:rPr>
        <w:t xml:space="preserve"> Absolute Number of Households by Household Size, Toronto, 1996-2016</w:t>
      </w:r>
    </w:p>
    <w:p w:rsidR="006A7786" w:rsidRPr="005D10E0" w:rsidRDefault="006A7786" w:rsidP="006A7786">
      <w:pPr>
        <w:pStyle w:val="Caption"/>
        <w:keepNext/>
        <w:jc w:val="center"/>
      </w:pPr>
    </w:p>
    <w:p w:rsidR="006A7786" w:rsidRPr="005D10E0" w:rsidRDefault="006A7786" w:rsidP="006A7786">
      <w:pPr>
        <w:jc w:val="center"/>
        <w:rPr>
          <w:rFonts w:eastAsia="Times New Roman" w:cs="Arial"/>
          <w:bCs/>
          <w:color w:val="auto"/>
          <w:lang w:eastAsia="en-CA"/>
        </w:rPr>
      </w:pPr>
      <w:r w:rsidRPr="005D10E0">
        <w:rPr>
          <w:rFonts w:eastAsia="Times New Roman" w:cs="Arial"/>
          <w:bCs/>
          <w:noProof/>
          <w:color w:val="auto"/>
          <w:lang w:eastAsia="en-CA"/>
        </w:rPr>
        <w:drawing>
          <wp:inline distT="0" distB="0" distL="0" distR="0">
            <wp:extent cx="5178647" cy="6911163"/>
            <wp:effectExtent l="19050" t="0" r="2953" b="0"/>
            <wp:docPr id="35" name="Picture 30" descr="Graph: Absolute Number of Households by Household Size, Toronto, 1996-2016&#10;Summary: This graph shows the absolute number of private households by household size for Toronto, for the years 1996, 2006, 2011 and 2016, based on Census data.  For more information, please contact Michael Wright at 416-392-7558 or Michael.Wright@toronto.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hold Size - Toronto.jpg"/>
                    <pic:cNvPicPr/>
                  </pic:nvPicPr>
                  <pic:blipFill>
                    <a:blip r:embed="rId39" cstate="print"/>
                    <a:srcRect l="4688" t="8695" r="23089" b="5351"/>
                    <a:stretch>
                      <a:fillRect/>
                    </a:stretch>
                  </pic:blipFill>
                  <pic:spPr>
                    <a:xfrm>
                      <a:off x="0" y="0"/>
                      <a:ext cx="5178955" cy="6911574"/>
                    </a:xfrm>
                    <a:prstGeom prst="rect">
                      <a:avLst/>
                    </a:prstGeom>
                  </pic:spPr>
                </pic:pic>
              </a:graphicData>
            </a:graphic>
          </wp:inline>
        </w:drawing>
      </w:r>
    </w:p>
    <w:p w:rsidR="006A7786" w:rsidRPr="005D10E0" w:rsidRDefault="006A7786" w:rsidP="006A7786">
      <w:pPr>
        <w:jc w:val="center"/>
        <w:rPr>
          <w:rFonts w:eastAsia="Times New Roman" w:cs="Arial"/>
          <w:color w:val="auto"/>
          <w:sz w:val="16"/>
          <w:szCs w:val="16"/>
          <w:lang w:eastAsia="en-CA"/>
        </w:rPr>
      </w:pPr>
    </w:p>
    <w:p w:rsidR="006A7786" w:rsidRPr="005D10E0" w:rsidRDefault="006A7786" w:rsidP="006A7786">
      <w:pPr>
        <w:jc w:val="center"/>
        <w:rPr>
          <w:rFonts w:eastAsia="Times New Roman" w:cs="Arial"/>
          <w:color w:val="auto"/>
          <w:sz w:val="16"/>
          <w:szCs w:val="16"/>
          <w:lang w:eastAsia="en-CA"/>
        </w:rPr>
      </w:pPr>
      <w:r w:rsidRPr="005D10E0">
        <w:rPr>
          <w:rFonts w:eastAsia="Times New Roman" w:cs="Arial"/>
          <w:color w:val="auto"/>
          <w:sz w:val="16"/>
          <w:szCs w:val="16"/>
          <w:lang w:eastAsia="en-CA"/>
        </w:rPr>
        <w:t>Source: Statistics Canada, 1996-2016 Censuses</w:t>
      </w:r>
    </w:p>
    <w:p w:rsidR="006A7786" w:rsidRPr="005D10E0" w:rsidRDefault="006A7786" w:rsidP="006A7786">
      <w:pPr>
        <w:jc w:val="center"/>
        <w:rPr>
          <w:rFonts w:eastAsia="Times New Roman" w:cs="Arial"/>
          <w:bCs/>
          <w:color w:val="auto"/>
          <w:lang w:eastAsia="en-CA"/>
        </w:rPr>
      </w:pPr>
    </w:p>
    <w:p w:rsidR="006A7786" w:rsidRPr="005D10E0" w:rsidRDefault="006A7786" w:rsidP="006A7786">
      <w:pPr>
        <w:jc w:val="center"/>
        <w:rPr>
          <w:rFonts w:eastAsia="Times New Roman" w:cs="Arial"/>
          <w:color w:val="auto"/>
          <w:sz w:val="16"/>
          <w:szCs w:val="16"/>
          <w:lang w:eastAsia="en-CA"/>
        </w:rPr>
      </w:pPr>
    </w:p>
    <w:p w:rsidR="006A7786" w:rsidRPr="005D10E0" w:rsidRDefault="006A7786" w:rsidP="006A7786">
      <w:pPr>
        <w:jc w:val="cente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9545C5" w:rsidRDefault="009545C5" w:rsidP="006A7786"/>
    <w:p w:rsidR="006A7786" w:rsidRPr="005D10E0" w:rsidRDefault="006A7786" w:rsidP="006A7786">
      <w:pPr>
        <w:rPr>
          <w:rFonts w:eastAsia="Times New Roman" w:cs="Arial"/>
          <w:bCs/>
          <w:color w:val="auto"/>
          <w:lang w:eastAsia="en-CA"/>
        </w:rPr>
      </w:pPr>
      <w:r>
        <w:lastRenderedPageBreak/>
        <w:t xml:space="preserve">Table </w:t>
      </w:r>
      <w:r w:rsidR="00575D0C">
        <w:fldChar w:fldCharType="begin"/>
      </w:r>
      <w:r w:rsidR="00D83B7F">
        <w:instrText xml:space="preserve"> SEQ Table \* ARABIC </w:instrText>
      </w:r>
      <w:r w:rsidR="00575D0C">
        <w:fldChar w:fldCharType="separate"/>
      </w:r>
      <w:r w:rsidR="00F937E4">
        <w:rPr>
          <w:noProof/>
        </w:rPr>
        <w:t>12</w:t>
      </w:r>
      <w:r w:rsidR="00575D0C">
        <w:rPr>
          <w:noProof/>
        </w:rPr>
        <w:fldChar w:fldCharType="end"/>
      </w:r>
      <w:r>
        <w:t>:</w:t>
      </w:r>
      <w:r w:rsidRPr="009E3026">
        <w:rPr>
          <w:rFonts w:eastAsia="Times New Roman" w:cs="Arial"/>
          <w:bCs/>
          <w:color w:val="auto"/>
          <w:lang w:eastAsia="en-CA"/>
        </w:rPr>
        <w:t xml:space="preserve"> </w:t>
      </w:r>
      <w:r w:rsidRPr="005D10E0">
        <w:rPr>
          <w:rFonts w:eastAsia="Times New Roman" w:cs="Arial"/>
          <w:bCs/>
          <w:color w:val="auto"/>
          <w:lang w:eastAsia="en-CA"/>
        </w:rPr>
        <w:t>Households by Size, Greater Toronto and Hamilton Area, 1996-2016</w:t>
      </w:r>
    </w:p>
    <w:p w:rsidR="006A7786" w:rsidRDefault="006A7786" w:rsidP="006A7786">
      <w:pPr>
        <w:pStyle w:val="Caption"/>
        <w:keepNext/>
      </w:pPr>
    </w:p>
    <w:p w:rsidR="006A7786" w:rsidRPr="005D10E0" w:rsidRDefault="006A7786" w:rsidP="006A7786">
      <w:pPr>
        <w:rPr>
          <w:rFonts w:eastAsia="Times New Roman" w:cs="Arial"/>
          <w:bCs/>
          <w:color w:val="auto"/>
          <w:lang w:eastAsia="en-CA"/>
        </w:rPr>
      </w:pPr>
      <w:r w:rsidRPr="005D10E0">
        <w:rPr>
          <w:noProof/>
          <w:lang w:eastAsia="en-CA"/>
        </w:rPr>
        <w:drawing>
          <wp:inline distT="0" distB="0" distL="0" distR="0">
            <wp:extent cx="5943600" cy="1380600"/>
            <wp:effectExtent l="19050" t="0" r="0" b="0"/>
            <wp:docPr id="32" name="Picture 8" descr="Table: Households by Size, Greater Toronto and Hamilton Area, 1996-2016&#10;Summary: This table shows the number and the percent change of private households by household size for Toronto, for the years 1996, 2006, 2011 and 2016 based on Census data.  For more information, please contact Michael Wright at 416-392-7558 or Michael.Wright@toronto.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5943600" cy="1380600"/>
                    </a:xfrm>
                    <a:prstGeom prst="rect">
                      <a:avLst/>
                    </a:prstGeom>
                    <a:noFill/>
                    <a:ln w="9525">
                      <a:noFill/>
                      <a:miter lim="800000"/>
                      <a:headEnd/>
                      <a:tailEnd/>
                    </a:ln>
                  </pic:spPr>
                </pic:pic>
              </a:graphicData>
            </a:graphic>
          </wp:inline>
        </w:drawing>
      </w:r>
    </w:p>
    <w:p w:rsidR="006A7786" w:rsidRPr="005D10E0" w:rsidRDefault="006A7786" w:rsidP="006A7786">
      <w:pPr>
        <w:rPr>
          <w:rFonts w:eastAsia="Times New Roman" w:cs="Arial"/>
          <w:color w:val="auto"/>
          <w:sz w:val="16"/>
          <w:szCs w:val="16"/>
          <w:lang w:eastAsia="en-CA"/>
        </w:rPr>
      </w:pPr>
    </w:p>
    <w:p w:rsidR="006A7786" w:rsidRPr="005D10E0" w:rsidRDefault="006A7786" w:rsidP="006A7786">
      <w:pPr>
        <w:rPr>
          <w:rFonts w:eastAsia="Times New Roman" w:cs="Arial"/>
          <w:color w:val="auto"/>
          <w:sz w:val="16"/>
          <w:szCs w:val="16"/>
          <w:lang w:eastAsia="en-CA"/>
        </w:rPr>
      </w:pPr>
      <w:r w:rsidRPr="005D10E0">
        <w:rPr>
          <w:rFonts w:eastAsia="Times New Roman" w:cs="Arial"/>
          <w:color w:val="auto"/>
          <w:sz w:val="16"/>
          <w:szCs w:val="16"/>
          <w:lang w:eastAsia="en-CA"/>
        </w:rPr>
        <w:t>Source: Statistics Canada, 1996-2016 Censuses</w:t>
      </w: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Default="006A7786" w:rsidP="006A7786">
      <w:pPr>
        <w:pStyle w:val="Caption"/>
        <w:keepNext/>
      </w:pPr>
      <w:r>
        <w:t xml:space="preserve">Table </w:t>
      </w:r>
      <w:r w:rsidR="00575D0C">
        <w:fldChar w:fldCharType="begin"/>
      </w:r>
      <w:r w:rsidR="00D83B7F">
        <w:instrText xml:space="preserve"> SEQ Table \* ARABIC </w:instrText>
      </w:r>
      <w:r w:rsidR="00575D0C">
        <w:fldChar w:fldCharType="separate"/>
      </w:r>
      <w:r w:rsidR="00F937E4">
        <w:rPr>
          <w:noProof/>
        </w:rPr>
        <w:t>13</w:t>
      </w:r>
      <w:r w:rsidR="00575D0C">
        <w:rPr>
          <w:noProof/>
        </w:rPr>
        <w:fldChar w:fldCharType="end"/>
      </w:r>
      <w:r>
        <w:t>:</w:t>
      </w:r>
      <w:r w:rsidRPr="009E3026">
        <w:rPr>
          <w:rFonts w:eastAsia="Times New Roman" w:cs="Arial"/>
          <w:bCs/>
          <w:color w:val="auto"/>
          <w:lang w:eastAsia="en-CA"/>
        </w:rPr>
        <w:t xml:space="preserve"> </w:t>
      </w:r>
      <w:r w:rsidRPr="005D10E0">
        <w:rPr>
          <w:rFonts w:eastAsia="Times New Roman" w:cs="Arial"/>
          <w:bCs/>
          <w:color w:val="auto"/>
          <w:lang w:eastAsia="en-CA"/>
        </w:rPr>
        <w:t>Households by Size, Rest of the Greater Toronto and Hamilton Area (excluding Toronto), 1996-2016</w:t>
      </w:r>
    </w:p>
    <w:p w:rsidR="006A7786" w:rsidRPr="005D10E0" w:rsidRDefault="006A7786" w:rsidP="006A7786">
      <w:pPr>
        <w:rPr>
          <w:rFonts w:eastAsia="Times New Roman" w:cs="Arial"/>
          <w:color w:val="auto"/>
          <w:sz w:val="16"/>
          <w:szCs w:val="16"/>
          <w:lang w:eastAsia="en-CA"/>
        </w:rPr>
      </w:pPr>
      <w:r w:rsidRPr="005D10E0">
        <w:rPr>
          <w:noProof/>
          <w:szCs w:val="16"/>
          <w:lang w:eastAsia="en-CA"/>
        </w:rPr>
        <w:drawing>
          <wp:inline distT="0" distB="0" distL="0" distR="0">
            <wp:extent cx="5943600" cy="1406440"/>
            <wp:effectExtent l="19050" t="0" r="0" b="0"/>
            <wp:docPr id="36" name="Picture 9" descr="Table: Households by Size, Rest of Greater Toronto and Hamilton Area (excluding Toronto), 1996-2016&#10;Summary: This table shows the number and the percent change of private households by household size for Rest of Greater Toronto and Hamilton Area (excluding Toronto), for the years 1996, 2006, 2011 and 2016 based on Census data.  For more information, please contact Michael Wright at 416-392-7558 or Michael.Wright@toronto.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5943600" cy="1406440"/>
                    </a:xfrm>
                    <a:prstGeom prst="rect">
                      <a:avLst/>
                    </a:prstGeom>
                    <a:noFill/>
                    <a:ln w="9525">
                      <a:noFill/>
                      <a:miter lim="800000"/>
                      <a:headEnd/>
                      <a:tailEnd/>
                    </a:ln>
                  </pic:spPr>
                </pic:pic>
              </a:graphicData>
            </a:graphic>
          </wp:inline>
        </w:drawing>
      </w:r>
    </w:p>
    <w:p w:rsidR="006A7786" w:rsidRPr="005D10E0" w:rsidRDefault="006A7786" w:rsidP="006A7786"/>
    <w:p w:rsidR="006A7786" w:rsidRPr="005D10E0" w:rsidRDefault="006A7786" w:rsidP="006A7786">
      <w:pPr>
        <w:rPr>
          <w:rFonts w:eastAsia="Times New Roman" w:cs="Arial"/>
          <w:color w:val="auto"/>
          <w:sz w:val="16"/>
          <w:szCs w:val="16"/>
          <w:lang w:eastAsia="en-CA"/>
        </w:rPr>
      </w:pPr>
      <w:r w:rsidRPr="005D10E0">
        <w:rPr>
          <w:rFonts w:eastAsia="Times New Roman" w:cs="Arial"/>
          <w:color w:val="auto"/>
          <w:sz w:val="16"/>
          <w:szCs w:val="16"/>
          <w:lang w:eastAsia="en-CA"/>
        </w:rPr>
        <w:t>Source: Statistics Canada, 1996-2016 Censuses</w:t>
      </w: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Default="006A7786" w:rsidP="006A7786">
      <w:pPr>
        <w:rPr>
          <w:rFonts w:eastAsia="Times New Roman" w:cs="Arial"/>
          <w:bCs/>
          <w:color w:val="auto"/>
          <w:lang w:eastAsia="en-CA"/>
        </w:rPr>
      </w:pPr>
      <w:r>
        <w:t xml:space="preserve">Table </w:t>
      </w:r>
      <w:r w:rsidR="00575D0C">
        <w:fldChar w:fldCharType="begin"/>
      </w:r>
      <w:r w:rsidR="00D83B7F">
        <w:instrText xml:space="preserve"> SEQ Table \* ARABIC </w:instrText>
      </w:r>
      <w:r w:rsidR="00575D0C">
        <w:fldChar w:fldCharType="separate"/>
      </w:r>
      <w:r w:rsidR="00F937E4">
        <w:rPr>
          <w:noProof/>
        </w:rPr>
        <w:t>14</w:t>
      </w:r>
      <w:r w:rsidR="00575D0C">
        <w:rPr>
          <w:noProof/>
        </w:rPr>
        <w:fldChar w:fldCharType="end"/>
      </w:r>
      <w:r>
        <w:t>:</w:t>
      </w:r>
      <w:r w:rsidRPr="009E3026">
        <w:rPr>
          <w:rFonts w:eastAsia="Times New Roman" w:cs="Arial"/>
          <w:bCs/>
          <w:color w:val="auto"/>
          <w:lang w:eastAsia="en-CA"/>
        </w:rPr>
        <w:t xml:space="preserve"> </w:t>
      </w:r>
      <w:r w:rsidRPr="005D10E0">
        <w:rPr>
          <w:rFonts w:eastAsia="Times New Roman" w:cs="Arial"/>
          <w:bCs/>
          <w:color w:val="auto"/>
          <w:lang w:eastAsia="en-CA"/>
        </w:rPr>
        <w:t>Proportion of Household by Number of Persons, Greater Toronto and Hamilton Area Regions, 2016</w:t>
      </w:r>
    </w:p>
    <w:p w:rsidR="00E043A9" w:rsidRDefault="00E043A9" w:rsidP="006A7786">
      <w:pPr>
        <w:rPr>
          <w:rFonts w:eastAsia="Times New Roman" w:cs="Arial"/>
          <w:bCs/>
          <w:color w:val="auto"/>
          <w:lang w:eastAsia="en-CA"/>
        </w:rPr>
      </w:pPr>
    </w:p>
    <w:p w:rsidR="00E043A9" w:rsidRPr="005D10E0" w:rsidRDefault="00E043A9" w:rsidP="006A7786">
      <w:pPr>
        <w:rPr>
          <w:rFonts w:eastAsia="Times New Roman" w:cs="Arial"/>
          <w:bCs/>
          <w:color w:val="auto"/>
          <w:lang w:eastAsia="en-CA"/>
        </w:rPr>
      </w:pPr>
      <w:r w:rsidRPr="00E043A9">
        <w:rPr>
          <w:noProof/>
          <w:lang w:eastAsia="en-CA"/>
        </w:rPr>
        <w:drawing>
          <wp:inline distT="0" distB="0" distL="0" distR="0">
            <wp:extent cx="5807075" cy="985520"/>
            <wp:effectExtent l="19050" t="0" r="3175" b="0"/>
            <wp:docPr id="3" name="Picture 1" descr="Table: Proportion of Household by Number of Persons, Greater Toronto and Hamilton Area, 2016 &#10;Summary: This table summarises the proportion of household by Household Size of Person for Toronto, Durham, York, Peel, Halton, Hamilton, the Rest of the GTHA and the GTHA as a whole region in 2016 based on Census data for the year 2016 based on Census 2016.For more information, please contact Michael Wright at 416-392-7558 or Michael.Wright@toront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807075" cy="985520"/>
                    </a:xfrm>
                    <a:prstGeom prst="rect">
                      <a:avLst/>
                    </a:prstGeom>
                    <a:noFill/>
                    <a:ln w="9525">
                      <a:noFill/>
                      <a:miter lim="800000"/>
                      <a:headEnd/>
                      <a:tailEnd/>
                    </a:ln>
                  </pic:spPr>
                </pic:pic>
              </a:graphicData>
            </a:graphic>
          </wp:inline>
        </w:drawing>
      </w:r>
    </w:p>
    <w:p w:rsidR="006A7786" w:rsidRPr="005D10E0" w:rsidRDefault="006A7786" w:rsidP="006A7786"/>
    <w:p w:rsidR="006A7786" w:rsidRPr="005D10E0" w:rsidRDefault="006A7786" w:rsidP="006A7786">
      <w:pPr>
        <w:rPr>
          <w:rFonts w:eastAsia="Times New Roman" w:cs="Arial"/>
          <w:color w:val="auto"/>
          <w:sz w:val="16"/>
          <w:szCs w:val="16"/>
          <w:lang w:eastAsia="en-CA"/>
        </w:rPr>
      </w:pPr>
    </w:p>
    <w:p w:rsidR="006A7786" w:rsidRPr="005D10E0" w:rsidRDefault="006A7786" w:rsidP="006A7786">
      <w:pPr>
        <w:rPr>
          <w:rFonts w:eastAsia="Times New Roman" w:cs="Arial"/>
          <w:color w:val="auto"/>
          <w:sz w:val="16"/>
          <w:szCs w:val="16"/>
          <w:lang w:eastAsia="en-CA"/>
        </w:rPr>
      </w:pPr>
      <w:r w:rsidRPr="005D10E0">
        <w:rPr>
          <w:rFonts w:eastAsia="Times New Roman" w:cs="Arial"/>
          <w:color w:val="auto"/>
          <w:sz w:val="16"/>
          <w:szCs w:val="16"/>
          <w:lang w:eastAsia="en-CA"/>
        </w:rPr>
        <w:t>Source: Statistics Canada, 2016 Censuses</w:t>
      </w:r>
    </w:p>
    <w:p w:rsidR="006A7786" w:rsidRPr="005D10E0" w:rsidRDefault="006A7786" w:rsidP="006A7786"/>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Pr="005D10E0" w:rsidRDefault="006A7786" w:rsidP="006A7786">
      <w:pPr>
        <w:rPr>
          <w:rFonts w:eastAsia="Times New Roman" w:cs="Arial"/>
          <w:bCs/>
          <w:color w:val="auto"/>
          <w:lang w:eastAsia="en-CA"/>
        </w:rPr>
      </w:pPr>
    </w:p>
    <w:p w:rsidR="006A7786" w:rsidRDefault="006A7786" w:rsidP="006A7786">
      <w:pPr>
        <w:rPr>
          <w:rFonts w:eastAsia="Times New Roman" w:cs="Arial"/>
          <w:b/>
          <w:bCs/>
          <w:color w:val="auto"/>
          <w:lang w:eastAsia="en-CA"/>
        </w:rPr>
      </w:pPr>
    </w:p>
    <w:p w:rsidR="006A7786" w:rsidRDefault="006A7786" w:rsidP="006A7786">
      <w:pPr>
        <w:rPr>
          <w:rFonts w:eastAsia="Times New Roman" w:cs="Arial"/>
          <w:b/>
          <w:bCs/>
          <w:color w:val="auto"/>
          <w:lang w:eastAsia="en-CA"/>
        </w:rPr>
      </w:pPr>
    </w:p>
    <w:p w:rsidR="006A7786" w:rsidRDefault="006A7786" w:rsidP="006A7786">
      <w:pPr>
        <w:rPr>
          <w:rFonts w:eastAsia="Times New Roman" w:cs="Arial"/>
          <w:b/>
          <w:bCs/>
          <w:color w:val="auto"/>
          <w:lang w:eastAsia="en-CA"/>
        </w:rPr>
      </w:pPr>
    </w:p>
    <w:p w:rsidR="006A7786" w:rsidRDefault="006A7786" w:rsidP="006A7786">
      <w:pPr>
        <w:rPr>
          <w:rFonts w:eastAsia="Times New Roman" w:cs="Arial"/>
          <w:b/>
          <w:bCs/>
          <w:color w:val="auto"/>
          <w:lang w:eastAsia="en-CA"/>
        </w:rPr>
      </w:pPr>
    </w:p>
    <w:p w:rsidR="006A7786" w:rsidRPr="0020111F" w:rsidRDefault="006A7786" w:rsidP="006A7786">
      <w:pPr>
        <w:rPr>
          <w:rFonts w:eastAsia="Times New Roman" w:cs="Arial"/>
          <w:bCs/>
          <w:color w:val="auto"/>
          <w:lang w:eastAsia="en-CA"/>
        </w:rPr>
      </w:pPr>
      <w:r>
        <w:lastRenderedPageBreak/>
        <w:t xml:space="preserve">Table </w:t>
      </w:r>
      <w:r w:rsidR="00575D0C">
        <w:fldChar w:fldCharType="begin"/>
      </w:r>
      <w:r w:rsidR="00D83B7F">
        <w:instrText xml:space="preserve"> SEQ Table \* ARABIC </w:instrText>
      </w:r>
      <w:r w:rsidR="00575D0C">
        <w:fldChar w:fldCharType="separate"/>
      </w:r>
      <w:r w:rsidR="00F937E4">
        <w:rPr>
          <w:noProof/>
        </w:rPr>
        <w:t>15</w:t>
      </w:r>
      <w:r w:rsidR="00575D0C">
        <w:rPr>
          <w:noProof/>
        </w:rPr>
        <w:fldChar w:fldCharType="end"/>
      </w:r>
      <w:r>
        <w:t>:</w:t>
      </w:r>
      <w:r w:rsidRPr="009E3026">
        <w:rPr>
          <w:rFonts w:eastAsia="Times New Roman" w:cs="Arial"/>
          <w:bCs/>
          <w:color w:val="auto"/>
          <w:lang w:eastAsia="en-CA"/>
        </w:rPr>
        <w:t xml:space="preserve"> </w:t>
      </w:r>
      <w:r w:rsidRPr="0020111F">
        <w:rPr>
          <w:rFonts w:eastAsia="Times New Roman" w:cs="Arial"/>
          <w:bCs/>
          <w:color w:val="auto"/>
          <w:lang w:eastAsia="en-CA"/>
        </w:rPr>
        <w:t>Average Number of Persons in Private Households, Greater Toronto and Hamilton Area Regions, 1996-2016</w:t>
      </w:r>
    </w:p>
    <w:p w:rsidR="006A7786" w:rsidRDefault="00E043A9" w:rsidP="006A7786">
      <w:pPr>
        <w:pStyle w:val="Caption"/>
        <w:keepNext/>
      </w:pPr>
      <w:r w:rsidRPr="00E043A9">
        <w:rPr>
          <w:noProof/>
          <w:lang w:eastAsia="en-CA"/>
        </w:rPr>
        <w:drawing>
          <wp:inline distT="0" distB="0" distL="0" distR="0">
            <wp:extent cx="5943600" cy="1629061"/>
            <wp:effectExtent l="19050" t="0" r="0" b="0"/>
            <wp:docPr id="10" name="Picture 2" descr="Table: Average Number of Persons in Private Households, Greater Toronto and Hamilton Area Regions, 1996-2016&#10;Summary: This table summarises the average number of persons by privtae household for Toronto, Durham, York, Peel, Halton, Hamilton, the Rest of the GTHA and the GTHA as a whole region in 1996, 2006, 2011 and 2016 based on Census data. For more information, please contact Michael Wright at 416-392-7558 or Michael.Wright@toront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5943600" cy="1629061"/>
                    </a:xfrm>
                    <a:prstGeom prst="rect">
                      <a:avLst/>
                    </a:prstGeom>
                    <a:noFill/>
                    <a:ln w="9525">
                      <a:noFill/>
                      <a:miter lim="800000"/>
                      <a:headEnd/>
                      <a:tailEnd/>
                    </a:ln>
                  </pic:spPr>
                </pic:pic>
              </a:graphicData>
            </a:graphic>
          </wp:inline>
        </w:drawing>
      </w:r>
    </w:p>
    <w:p w:rsidR="006A7786" w:rsidRDefault="006A7786" w:rsidP="006A7786"/>
    <w:p w:rsidR="006A7786" w:rsidRDefault="006A7786" w:rsidP="006A7786">
      <w:pPr>
        <w:rPr>
          <w:rFonts w:eastAsia="Times New Roman" w:cs="Arial"/>
          <w:color w:val="auto"/>
          <w:sz w:val="16"/>
          <w:szCs w:val="16"/>
          <w:lang w:eastAsia="en-CA"/>
        </w:rPr>
      </w:pPr>
      <w:r w:rsidRPr="00182713">
        <w:rPr>
          <w:rFonts w:eastAsia="Times New Roman" w:cs="Arial"/>
          <w:color w:val="auto"/>
          <w:sz w:val="16"/>
          <w:szCs w:val="16"/>
          <w:lang w:eastAsia="en-CA"/>
        </w:rPr>
        <w:t xml:space="preserve">Source: Statistics Canada, </w:t>
      </w:r>
      <w:r>
        <w:rPr>
          <w:rFonts w:eastAsia="Times New Roman" w:cs="Arial"/>
          <w:color w:val="auto"/>
          <w:sz w:val="16"/>
          <w:szCs w:val="16"/>
          <w:lang w:eastAsia="en-CA"/>
        </w:rPr>
        <w:t>1996-</w:t>
      </w:r>
      <w:r w:rsidRPr="00182713">
        <w:rPr>
          <w:rFonts w:eastAsia="Times New Roman" w:cs="Arial"/>
          <w:color w:val="auto"/>
          <w:sz w:val="16"/>
          <w:szCs w:val="16"/>
          <w:lang w:eastAsia="en-CA"/>
        </w:rPr>
        <w:t>2016 Censuses</w:t>
      </w:r>
    </w:p>
    <w:p w:rsidR="006A7786" w:rsidRDefault="006A7786" w:rsidP="006A7786">
      <w:pPr>
        <w:rPr>
          <w:rFonts w:eastAsia="Times New Roman" w:cs="Arial"/>
          <w:b/>
          <w:bCs/>
          <w:color w:val="auto"/>
          <w:lang w:eastAsia="en-CA"/>
        </w:rPr>
      </w:pPr>
    </w:p>
    <w:p w:rsidR="006A7786" w:rsidRDefault="006A7786" w:rsidP="006A7786">
      <w:pPr>
        <w:rPr>
          <w:rFonts w:eastAsia="Times New Roman" w:cs="Arial"/>
          <w:b/>
          <w:bCs/>
          <w:color w:val="auto"/>
          <w:lang w:eastAsia="en-CA"/>
        </w:rPr>
      </w:pPr>
    </w:p>
    <w:p w:rsidR="006A7786" w:rsidRDefault="006A7786" w:rsidP="006A7786">
      <w:pPr>
        <w:rPr>
          <w:rFonts w:eastAsia="Times New Roman" w:cs="Arial"/>
          <w:color w:val="auto"/>
          <w:sz w:val="16"/>
          <w:szCs w:val="16"/>
          <w:lang w:eastAsia="en-CA"/>
        </w:rPr>
      </w:pPr>
    </w:p>
    <w:p w:rsidR="006A7786" w:rsidRPr="0020111F" w:rsidRDefault="006A7786" w:rsidP="006A7786">
      <w:pPr>
        <w:rPr>
          <w:rFonts w:eastAsia="Times New Roman" w:cs="Arial"/>
          <w:bCs/>
          <w:color w:val="auto"/>
          <w:lang w:eastAsia="en-CA"/>
        </w:rPr>
      </w:pPr>
      <w:r>
        <w:t xml:space="preserve">Figure </w:t>
      </w:r>
      <w:r w:rsidR="00575D0C">
        <w:fldChar w:fldCharType="begin"/>
      </w:r>
      <w:r w:rsidR="00D83B7F">
        <w:instrText xml:space="preserve"> SEQ Figure \* ARABIC </w:instrText>
      </w:r>
      <w:r w:rsidR="00575D0C">
        <w:fldChar w:fldCharType="separate"/>
      </w:r>
      <w:r w:rsidR="00F937E4">
        <w:rPr>
          <w:noProof/>
        </w:rPr>
        <w:t>12</w:t>
      </w:r>
      <w:r w:rsidR="00575D0C">
        <w:rPr>
          <w:noProof/>
        </w:rPr>
        <w:fldChar w:fldCharType="end"/>
      </w:r>
      <w:r w:rsidRPr="0020111F">
        <w:t>:</w:t>
      </w:r>
      <w:r w:rsidRPr="0020111F">
        <w:rPr>
          <w:rFonts w:eastAsia="Times New Roman" w:cs="Arial"/>
          <w:bCs/>
          <w:color w:val="auto"/>
          <w:lang w:eastAsia="en-CA"/>
        </w:rPr>
        <w:t xml:space="preserve"> Change to the Average Number of Persons in Private Households, Greater Toronto and Hamilton Area, 1996-2016</w:t>
      </w:r>
    </w:p>
    <w:p w:rsidR="006A7786" w:rsidRDefault="006A7786" w:rsidP="006A7786">
      <w:pPr>
        <w:pStyle w:val="Caption"/>
        <w:keepNext/>
        <w:jc w:val="center"/>
      </w:pPr>
    </w:p>
    <w:p w:rsidR="006A7786" w:rsidRDefault="006A7786" w:rsidP="006A7786">
      <w:pPr>
        <w:jc w:val="center"/>
        <w:rPr>
          <w:rFonts w:eastAsia="Times New Roman" w:cs="Arial"/>
          <w:color w:val="auto"/>
          <w:sz w:val="16"/>
          <w:szCs w:val="16"/>
          <w:lang w:eastAsia="en-CA"/>
        </w:rPr>
      </w:pPr>
      <w:r w:rsidRPr="00992DA2">
        <w:rPr>
          <w:rFonts w:eastAsia="Times New Roman" w:cs="Arial"/>
          <w:noProof/>
          <w:color w:val="auto"/>
          <w:sz w:val="16"/>
          <w:szCs w:val="16"/>
          <w:lang w:eastAsia="en-CA"/>
        </w:rPr>
        <w:drawing>
          <wp:inline distT="0" distB="0" distL="0" distR="0">
            <wp:extent cx="4010690" cy="4404687"/>
            <wp:effectExtent l="19050" t="0" r="8860" b="0"/>
            <wp:docPr id="40" name="Picture 26" descr="Graph: Change to the Average Number of Persons in Private Households, Greater Toronto and Hamilton Area, 1996-2016.&#10;Table: Average Number of Persons in Private Households, Greater Toronto and Hamilton Area Regions, 1996-2016&#10;Summary: This graph summarises the change in the average number of persons in private household for Toronto, Durham, York, Peel, Halton, Hamilton, the Rest of the GTHA and the GTHA as a whole region in 1996, 2006, 2011 and 2016 based on Census data. For more information, please contact Michael Wright at 416-392-7558 or Michael.Wright@toront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s Per Household.jpg"/>
                    <pic:cNvPicPr/>
                  </pic:nvPicPr>
                  <pic:blipFill>
                    <a:blip r:embed="rId44" cstate="print"/>
                    <a:srcRect l="2780" t="7078" r="16534" b="11380"/>
                    <a:stretch>
                      <a:fillRect/>
                    </a:stretch>
                  </pic:blipFill>
                  <pic:spPr>
                    <a:xfrm>
                      <a:off x="0" y="0"/>
                      <a:ext cx="4013499" cy="4407772"/>
                    </a:xfrm>
                    <a:prstGeom prst="rect">
                      <a:avLst/>
                    </a:prstGeom>
                  </pic:spPr>
                </pic:pic>
              </a:graphicData>
            </a:graphic>
          </wp:inline>
        </w:drawing>
      </w:r>
    </w:p>
    <w:p w:rsidR="006A7786" w:rsidRDefault="006A7786" w:rsidP="006A7786"/>
    <w:p w:rsidR="006A7786" w:rsidRDefault="006A7786" w:rsidP="006A7786">
      <w:pPr>
        <w:jc w:val="center"/>
        <w:rPr>
          <w:rFonts w:eastAsia="Times New Roman" w:cs="Arial"/>
          <w:color w:val="auto"/>
          <w:sz w:val="16"/>
          <w:szCs w:val="16"/>
          <w:lang w:eastAsia="en-CA"/>
        </w:rPr>
      </w:pPr>
      <w:r w:rsidRPr="00182713">
        <w:rPr>
          <w:rFonts w:eastAsia="Times New Roman" w:cs="Arial"/>
          <w:color w:val="auto"/>
          <w:sz w:val="16"/>
          <w:szCs w:val="16"/>
          <w:lang w:eastAsia="en-CA"/>
        </w:rPr>
        <w:t xml:space="preserve">Source: Statistics Canada, </w:t>
      </w:r>
      <w:r>
        <w:rPr>
          <w:rFonts w:eastAsia="Times New Roman" w:cs="Arial"/>
          <w:color w:val="auto"/>
          <w:sz w:val="16"/>
          <w:szCs w:val="16"/>
          <w:lang w:eastAsia="en-CA"/>
        </w:rPr>
        <w:t>1996-</w:t>
      </w:r>
      <w:r w:rsidRPr="00182713">
        <w:rPr>
          <w:rFonts w:eastAsia="Times New Roman" w:cs="Arial"/>
          <w:color w:val="auto"/>
          <w:sz w:val="16"/>
          <w:szCs w:val="16"/>
          <w:lang w:eastAsia="en-CA"/>
        </w:rPr>
        <w:t>2016 Censuses</w:t>
      </w:r>
    </w:p>
    <w:p w:rsidR="006A7786" w:rsidRDefault="00173B4D" w:rsidP="00C31A79">
      <w:pPr>
        <w:pStyle w:val="Body"/>
        <w:jc w:val="center"/>
      </w:pPr>
      <w:r>
        <w:rPr>
          <w:noProof/>
          <w:lang w:eastAsia="en-CA"/>
        </w:rPr>
        <w:lastRenderedPageBreak/>
        <w:drawing>
          <wp:anchor distT="0" distB="0" distL="114300" distR="114300" simplePos="0" relativeHeight="251658240" behindDoc="0" locked="0" layoutInCell="1" allowOverlap="1">
            <wp:simplePos x="0" y="0"/>
            <wp:positionH relativeFrom="margin">
              <wp:posOffset>-2070290</wp:posOffset>
            </wp:positionH>
            <wp:positionV relativeFrom="margin">
              <wp:posOffset>438150</wp:posOffset>
            </wp:positionV>
            <wp:extent cx="10107930" cy="7807325"/>
            <wp:effectExtent l="0" t="990600" r="0" b="993775"/>
            <wp:wrapSquare wrapText="bothSides"/>
            <wp:docPr id="15" name="Picture 15" descr="The map shows the percent of children ages 0 to 14 years by Census Tract for the city of Toronto. There are concentrations of children at various locations around the city.  The downtown core has a much smaller proportion of children. For more information, please contact Harvey Low at 416-392-8660 or spar@toront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p 1_ct16_pct0to14_TOR.emf"/>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10107930" cy="7807325"/>
                    </a:xfrm>
                    <a:prstGeom prst="rect">
                      <a:avLst/>
                    </a:prstGeom>
                  </pic:spPr>
                </pic:pic>
              </a:graphicData>
            </a:graphic>
          </wp:anchor>
        </w:drawing>
      </w:r>
    </w:p>
    <w:p w:rsidR="001453E3" w:rsidRDefault="001453E3">
      <w:pPr>
        <w:spacing w:after="160" w:line="259" w:lineRule="auto"/>
      </w:pPr>
      <w:r>
        <w:lastRenderedPageBreak/>
        <w:br w:type="page"/>
      </w:r>
      <w:r>
        <w:rPr>
          <w:noProof/>
          <w:lang w:eastAsia="en-CA"/>
        </w:rPr>
        <w:drawing>
          <wp:anchor distT="0" distB="0" distL="114300" distR="114300" simplePos="0" relativeHeight="251671552" behindDoc="0" locked="0" layoutInCell="1" allowOverlap="1">
            <wp:simplePos x="0" y="0"/>
            <wp:positionH relativeFrom="column">
              <wp:posOffset>0</wp:posOffset>
            </wp:positionH>
            <wp:positionV relativeFrom="paragraph">
              <wp:posOffset>2969</wp:posOffset>
            </wp:positionV>
            <wp:extent cx="7818120" cy="10122408"/>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p 1a_ct16_pct0to14_GTAH.em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818120" cy="10122408"/>
                    </a:xfrm>
                    <a:prstGeom prst="rect">
                      <a:avLst/>
                    </a:prstGeom>
                  </pic:spPr>
                </pic:pic>
              </a:graphicData>
            </a:graphic>
          </wp:anchor>
        </w:drawing>
      </w:r>
    </w:p>
    <w:p w:rsidR="001453E3" w:rsidRDefault="001453E3" w:rsidP="00C31A79">
      <w:pPr>
        <w:pStyle w:val="Body"/>
        <w:jc w:val="center"/>
      </w:pPr>
    </w:p>
    <w:p w:rsidR="001453E3" w:rsidRDefault="001453E3" w:rsidP="00C31A79">
      <w:pPr>
        <w:pStyle w:val="Body"/>
        <w:jc w:val="center"/>
      </w:pPr>
    </w:p>
    <w:p w:rsidR="00747F3C" w:rsidRDefault="00747F3C" w:rsidP="00C31A79">
      <w:pPr>
        <w:pStyle w:val="Body"/>
        <w:jc w:val="center"/>
      </w:pPr>
    </w:p>
    <w:p w:rsidR="00F67B67" w:rsidRDefault="00F67B67" w:rsidP="00F67B67">
      <w:pPr>
        <w:pStyle w:val="Body"/>
        <w:jc w:val="center"/>
      </w:pPr>
      <w:r>
        <w:rPr>
          <w:noProof/>
          <w:lang w:eastAsia="en-CA"/>
        </w:rPr>
        <w:drawing>
          <wp:anchor distT="0" distB="0" distL="114300" distR="114300" simplePos="0" relativeHeight="251659264" behindDoc="0" locked="0" layoutInCell="1" allowOverlap="1">
            <wp:simplePos x="0" y="0"/>
            <wp:positionH relativeFrom="page">
              <wp:posOffset>-1165860</wp:posOffset>
            </wp:positionH>
            <wp:positionV relativeFrom="page">
              <wp:posOffset>1145540</wp:posOffset>
            </wp:positionV>
            <wp:extent cx="10067290" cy="7781290"/>
            <wp:effectExtent l="0" t="0" r="0" b="0"/>
            <wp:wrapSquare wrapText="bothSides"/>
            <wp:docPr id="18" name="Picture 18" descr="The map shows the percent of youth ages 15 to 24 years by Census Tract for the city of Toronto. The highest concentrations of youth can be found near and around the University of Toronto downtown campus and in the north end of the city around York University Keele Campus.  There is a smaller proportion of youth south of Bloor, to the east and west of the downtown core.  &#10;For more information, please contact Harvey Low at 416-392-8660 or spar@toronto.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p 2_ct16_pct15to24_TOR.emf"/>
                    <pic:cNvPicPr/>
                  </pic:nvPicPr>
                  <pic:blipFill>
                    <a:blip r:embed="rId47" cstate="print">
                      <a:extLst>
                        <a:ext uri="{28A0092B-C50C-407E-A947-70E740481C1C}">
                          <a14:useLocalDpi xmlns:a14="http://schemas.microsoft.com/office/drawing/2010/main" val="0"/>
                        </a:ext>
                      </a:extLst>
                    </a:blip>
                    <a:stretch>
                      <a:fillRect/>
                    </a:stretch>
                  </pic:blipFill>
                  <pic:spPr>
                    <a:xfrm rot="16200000">
                      <a:off x="0" y="0"/>
                      <a:ext cx="10067290" cy="7781290"/>
                    </a:xfrm>
                    <a:prstGeom prst="rect">
                      <a:avLst/>
                    </a:prstGeom>
                  </pic:spPr>
                </pic:pic>
              </a:graphicData>
            </a:graphic>
          </wp:anchor>
        </w:drawing>
      </w:r>
    </w:p>
    <w:p w:rsidR="00F67B67" w:rsidRDefault="00F67B67" w:rsidP="00C31A79">
      <w:pPr>
        <w:pStyle w:val="Body"/>
        <w:jc w:val="center"/>
      </w:pPr>
      <w:r>
        <w:rPr>
          <w:noProof/>
          <w:lang w:eastAsia="en-CA"/>
        </w:rPr>
        <w:lastRenderedPageBreak/>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10067290" cy="7781290"/>
            <wp:effectExtent l="0" t="952500" r="0" b="943610"/>
            <wp:wrapSquare wrapText="bothSides"/>
            <wp:docPr id="19" name="Picture 19" descr="The map shows the percent of adults aged 25 to 64 years by Census Tract for the city of Toronto. The highest concentrations of people in this age range are found south of Queen St from Mimico to Woodbine Ave, stretching north between Yonge St and Jarvis St to Bloor St, and the Yonge and Eglinton area. &#10;For more information, please contact Harvey Low at 416-392-8660 or spar@toront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p 3_ct16_pct25to64_TOR.emf"/>
                    <pic:cNvPicPr/>
                  </pic:nvPicPr>
                  <pic:blipFill>
                    <a:blip r:embed="rId48" cstate="print">
                      <a:extLst>
                        <a:ext uri="{28A0092B-C50C-407E-A947-70E740481C1C}">
                          <a14:useLocalDpi xmlns:a14="http://schemas.microsoft.com/office/drawing/2010/main" val="0"/>
                        </a:ext>
                      </a:extLst>
                    </a:blip>
                    <a:stretch>
                      <a:fillRect/>
                    </a:stretch>
                  </pic:blipFill>
                  <pic:spPr>
                    <a:xfrm rot="16200000">
                      <a:off x="0" y="0"/>
                      <a:ext cx="10067290" cy="7781290"/>
                    </a:xfrm>
                    <a:prstGeom prst="rect">
                      <a:avLst/>
                    </a:prstGeom>
                  </pic:spPr>
                </pic:pic>
              </a:graphicData>
            </a:graphic>
          </wp:anchor>
        </w:drawing>
      </w:r>
    </w:p>
    <w:p w:rsidR="00F67B67" w:rsidRDefault="00DA67ED" w:rsidP="00C31A79">
      <w:pPr>
        <w:pStyle w:val="Body"/>
        <w:jc w:val="center"/>
      </w:pPr>
      <w:r>
        <w:rPr>
          <w:noProof/>
          <w:lang w:eastAsia="en-CA"/>
        </w:rPr>
        <w:lastRenderedPageBreak/>
        <w:drawing>
          <wp:anchor distT="0" distB="0" distL="114300" distR="114300" simplePos="0" relativeHeight="251661312" behindDoc="0" locked="0" layoutInCell="1" allowOverlap="1">
            <wp:simplePos x="0" y="0"/>
            <wp:positionH relativeFrom="margin">
              <wp:posOffset>-2049970</wp:posOffset>
            </wp:positionH>
            <wp:positionV relativeFrom="margin">
              <wp:posOffset>457200</wp:posOffset>
            </wp:positionV>
            <wp:extent cx="10067290" cy="7781290"/>
            <wp:effectExtent l="0" t="990600" r="0" b="981710"/>
            <wp:wrapSquare wrapText="bothSides"/>
            <wp:docPr id="20" name="Picture 20" descr="The map shows the percent of seniors 65 years and over by Census Tract for the city of Toronto. There are pockets of concentration across Toronto, most noticeably around Highway 404 in the north end of the city. &#10;For more information, please contact Harvey Low at 416-392-8660 or spar@toront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p 4_ct16_pct65andover_TOR.emf"/>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10067290" cy="7781290"/>
                    </a:xfrm>
                    <a:prstGeom prst="rect">
                      <a:avLst/>
                    </a:prstGeom>
                  </pic:spPr>
                </pic:pic>
              </a:graphicData>
            </a:graphic>
          </wp:anchor>
        </w:drawing>
      </w:r>
    </w:p>
    <w:p w:rsidR="001453E3" w:rsidRDefault="001453E3" w:rsidP="00C31A79">
      <w:pPr>
        <w:pStyle w:val="Body"/>
        <w:jc w:val="center"/>
      </w:pPr>
      <w:r>
        <w:rPr>
          <w:noProof/>
          <w:lang w:eastAsia="en-CA"/>
        </w:rPr>
        <w:lastRenderedPageBreak/>
        <w:drawing>
          <wp:anchor distT="0" distB="0" distL="114300" distR="114300" simplePos="0" relativeHeight="251670528" behindDoc="0" locked="0" layoutInCell="1" allowOverlap="1">
            <wp:simplePos x="0" y="0"/>
            <wp:positionH relativeFrom="column">
              <wp:posOffset>-1662546</wp:posOffset>
            </wp:positionH>
            <wp:positionV relativeFrom="paragraph">
              <wp:posOffset>-638299</wp:posOffset>
            </wp:positionV>
            <wp:extent cx="7818120" cy="10122408"/>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p 4a_ct16_pct65andover_GTAH.em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818120" cy="10122408"/>
                    </a:xfrm>
                    <a:prstGeom prst="rect">
                      <a:avLst/>
                    </a:prstGeom>
                  </pic:spPr>
                </pic:pic>
              </a:graphicData>
            </a:graphic>
          </wp:anchor>
        </w:drawing>
      </w:r>
    </w:p>
    <w:p w:rsidR="00173B4D" w:rsidRDefault="00173B4D" w:rsidP="00C31A79">
      <w:pPr>
        <w:pStyle w:val="Body"/>
        <w:jc w:val="center"/>
        <w:rPr>
          <w:noProof/>
          <w:lang w:eastAsia="en-CA"/>
        </w:rPr>
      </w:pPr>
      <w:r w:rsidRPr="00173B4D">
        <w:rPr>
          <w:noProof/>
          <w:lang w:eastAsia="en-CA"/>
        </w:rPr>
        <w:lastRenderedPageBreak/>
        <w:drawing>
          <wp:anchor distT="0" distB="0" distL="114300" distR="114300" simplePos="0" relativeHeight="251663360" behindDoc="0" locked="0" layoutInCell="1" allowOverlap="1">
            <wp:simplePos x="0" y="0"/>
            <wp:positionH relativeFrom="margin">
              <wp:align>center</wp:align>
            </wp:positionH>
            <wp:positionV relativeFrom="margin">
              <wp:align>center</wp:align>
            </wp:positionV>
            <wp:extent cx="10075025" cy="7786370"/>
            <wp:effectExtent l="0" t="952500" r="0" b="957580"/>
            <wp:wrapSquare wrapText="bothSides"/>
            <wp:docPr id="42" name="Picture 21" descr="The map shows the average age by Census Tract for the city of Toronto. A majority of the Census Tracts with an average age over 50 are in the area around Highway 404 in the north end of the city. The rest can be found in the Yonge St and St. Clair Ave area and in the Westmount area of Etobicoke.&#10;For more information, please contact Harvey Low at 416-392-8660 or spar@toront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p 5_ct16_AverageAge_TOR.emf"/>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10075025" cy="7786370"/>
                    </a:xfrm>
                    <a:prstGeom prst="rect">
                      <a:avLst/>
                    </a:prstGeom>
                  </pic:spPr>
                </pic:pic>
              </a:graphicData>
            </a:graphic>
          </wp:anchor>
        </w:drawing>
      </w:r>
    </w:p>
    <w:p w:rsidR="00173B4D" w:rsidRDefault="002F1A6F" w:rsidP="00C31A79">
      <w:pPr>
        <w:pStyle w:val="Body"/>
        <w:jc w:val="center"/>
        <w:rPr>
          <w:noProof/>
          <w:lang w:eastAsia="en-CA"/>
        </w:rPr>
      </w:pPr>
      <w:r>
        <w:rPr>
          <w:noProof/>
          <w:lang w:eastAsia="en-CA"/>
        </w:rPr>
        <w:lastRenderedPageBreak/>
        <w:pict>
          <v:rect id="_x0000_s1027" style="position:absolute;left:0;text-align:left;margin-left:0;margin-top:0;width:598.45pt;height:776.1pt;z-index:-251660290;mso-position-horizontal:center;mso-position-horizontal-relative:margin;mso-position-vertical:center;mso-position-vertical-relative:margin" wrapcoords="-27 0 -27 21579 21600 21579 21600 0 -27 0" stroked="f">
            <w10:wrap type="tight" anchorx="margin" anchory="margin"/>
          </v:rect>
        </w:pict>
      </w:r>
      <w:r w:rsidR="00F618A2">
        <w:rPr>
          <w:noProof/>
          <w:lang w:eastAsia="en-CA"/>
        </w:rPr>
        <w:drawing>
          <wp:anchor distT="0" distB="0" distL="114300" distR="114300" simplePos="0" relativeHeight="251672576" behindDoc="1" locked="0" layoutInCell="1" allowOverlap="1">
            <wp:simplePos x="0" y="0"/>
            <wp:positionH relativeFrom="margin">
              <wp:align>center</wp:align>
            </wp:positionH>
            <wp:positionV relativeFrom="margin">
              <wp:align>center</wp:align>
            </wp:positionV>
            <wp:extent cx="10085705" cy="7786370"/>
            <wp:effectExtent l="0" t="952500" r="0" b="957580"/>
            <wp:wrapTight wrapText="bothSides">
              <wp:wrapPolygon edited="0">
                <wp:start x="21178" y="351"/>
                <wp:lineTo x="942" y="351"/>
                <wp:lineTo x="411" y="404"/>
                <wp:lineTo x="411" y="21120"/>
                <wp:lineTo x="21178" y="21120"/>
                <wp:lineTo x="21178" y="351"/>
              </wp:wrapPolygon>
            </wp:wrapTight>
            <wp:docPr id="21" name="Picture 20" descr="TorAptChg111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AptChg1116.emf"/>
                    <pic:cNvPicPr/>
                  </pic:nvPicPr>
                  <pic:blipFill>
                    <a:blip r:embed="rId52" cstate="print"/>
                    <a:stretch>
                      <a:fillRect/>
                    </a:stretch>
                  </pic:blipFill>
                  <pic:spPr>
                    <a:xfrm rot="16200000">
                      <a:off x="0" y="0"/>
                      <a:ext cx="10085705" cy="7786370"/>
                    </a:xfrm>
                    <a:prstGeom prst="rect">
                      <a:avLst/>
                    </a:prstGeom>
                  </pic:spPr>
                </pic:pic>
              </a:graphicData>
            </a:graphic>
          </wp:anchor>
        </w:drawing>
      </w:r>
    </w:p>
    <w:p w:rsidR="00173B4D" w:rsidRDefault="002F1A6F" w:rsidP="00C31A79">
      <w:pPr>
        <w:pStyle w:val="Body"/>
        <w:jc w:val="center"/>
        <w:rPr>
          <w:noProof/>
          <w:lang w:eastAsia="en-CA"/>
        </w:rPr>
      </w:pPr>
      <w:r>
        <w:rPr>
          <w:noProof/>
          <w:lang w:eastAsia="en-CA"/>
        </w:rPr>
        <w:lastRenderedPageBreak/>
        <w:pict>
          <v:rect id="_x0000_s1026" style="position:absolute;left:0;text-align:left;margin-left:-65.45pt;margin-top:-44.65pt;width:598.45pt;height:776.1pt;z-index:-251659265" wrapcoords="-27 0 -27 21579 21600 21579 21600 0 -27 0" stroked="f">
            <w10:wrap type="tight"/>
          </v:rect>
        </w:pict>
      </w:r>
      <w:r w:rsidR="00F618A2">
        <w:rPr>
          <w:noProof/>
          <w:lang w:eastAsia="en-CA"/>
        </w:rPr>
        <w:drawing>
          <wp:anchor distT="0" distB="0" distL="114300" distR="114300" simplePos="0" relativeHeight="251673600" behindDoc="1" locked="0" layoutInCell="1" allowOverlap="1">
            <wp:simplePos x="0" y="0"/>
            <wp:positionH relativeFrom="margin">
              <wp:align>center</wp:align>
            </wp:positionH>
            <wp:positionV relativeFrom="margin">
              <wp:align>center</wp:align>
            </wp:positionV>
            <wp:extent cx="10067290" cy="7786370"/>
            <wp:effectExtent l="0" t="952500" r="0" b="957580"/>
            <wp:wrapTight wrapText="bothSides">
              <wp:wrapPolygon edited="0">
                <wp:start x="21197" y="377"/>
                <wp:lineTo x="1578" y="377"/>
                <wp:lineTo x="392" y="430"/>
                <wp:lineTo x="392" y="21146"/>
                <wp:lineTo x="21197" y="21146"/>
                <wp:lineTo x="21197" y="377"/>
              </wp:wrapPolygon>
            </wp:wrapTight>
            <wp:docPr id="24" name="Picture 23" descr="TorDwelByStrucTypeD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DwelByStrucTypeDA.emf"/>
                    <pic:cNvPicPr/>
                  </pic:nvPicPr>
                  <pic:blipFill>
                    <a:blip r:embed="rId53" cstate="print"/>
                    <a:stretch>
                      <a:fillRect/>
                    </a:stretch>
                  </pic:blipFill>
                  <pic:spPr>
                    <a:xfrm rot="16200000">
                      <a:off x="0" y="0"/>
                      <a:ext cx="10067290" cy="7786370"/>
                    </a:xfrm>
                    <a:prstGeom prst="rect">
                      <a:avLst/>
                    </a:prstGeom>
                  </pic:spPr>
                </pic:pic>
              </a:graphicData>
            </a:graphic>
          </wp:anchor>
        </w:drawing>
      </w:r>
    </w:p>
    <w:p w:rsidR="00173B4D" w:rsidRDefault="00A9198F" w:rsidP="00A9198F">
      <w:pPr>
        <w:pStyle w:val="Body"/>
        <w:jc w:val="center"/>
      </w:pPr>
      <w:r w:rsidRPr="00A9198F">
        <w:rPr>
          <w:noProof/>
          <w:lang w:eastAsia="en-CA"/>
        </w:rPr>
        <w:lastRenderedPageBreak/>
        <w:drawing>
          <wp:anchor distT="0" distB="0" distL="114300" distR="114300" simplePos="0" relativeHeight="251669504" behindDoc="1" locked="0" layoutInCell="1" allowOverlap="1">
            <wp:simplePos x="0" y="0"/>
            <wp:positionH relativeFrom="margin">
              <wp:align>center</wp:align>
            </wp:positionH>
            <wp:positionV relativeFrom="margin">
              <wp:align>center</wp:align>
            </wp:positionV>
            <wp:extent cx="7634177" cy="9877647"/>
            <wp:effectExtent l="0" t="0" r="0" b="0"/>
            <wp:wrapTight wrapText="bothSides">
              <wp:wrapPolygon edited="0">
                <wp:start x="378" y="458"/>
                <wp:lineTo x="378" y="21121"/>
                <wp:lineTo x="21196" y="21121"/>
                <wp:lineTo x="21196" y="458"/>
                <wp:lineTo x="378" y="458"/>
              </wp:wrapPolygon>
            </wp:wrapTight>
            <wp:docPr id="46" name="Picture 0" descr="Summary of the Map:&#10;This map shows the percentage distribution of apartment dwellings with 5 or more storeys by Census Tract for the Greater Toronto and Hamilton Area using Census 2016 data.&#10;For more information, please contact Michael Wright at 416-392-7558 or Michael.Wright@toront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HA_Apt5pls.emf"/>
                    <pic:cNvPicPr/>
                  </pic:nvPicPr>
                  <pic:blipFill>
                    <a:blip r:embed="rId54" cstate="print"/>
                    <a:stretch>
                      <a:fillRect/>
                    </a:stretch>
                  </pic:blipFill>
                  <pic:spPr>
                    <a:xfrm>
                      <a:off x="0" y="0"/>
                      <a:ext cx="7629525" cy="9877425"/>
                    </a:xfrm>
                    <a:prstGeom prst="rect">
                      <a:avLst/>
                    </a:prstGeom>
                  </pic:spPr>
                </pic:pic>
              </a:graphicData>
            </a:graphic>
          </wp:anchor>
        </w:drawing>
      </w:r>
    </w:p>
    <w:sectPr w:rsidR="00173B4D" w:rsidSect="00F7644E">
      <w:footerReference w:type="default" r:id="rId55"/>
      <w:headerReference w:type="first" r:id="rId56"/>
      <w:pgSz w:w="12240" w:h="15840"/>
      <w:pgMar w:top="1080" w:right="1440" w:bottom="108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A6F" w:rsidRDefault="002F1A6F" w:rsidP="00043CA2">
      <w:r>
        <w:separator/>
      </w:r>
    </w:p>
  </w:endnote>
  <w:endnote w:type="continuationSeparator" w:id="0">
    <w:p w:rsidR="002F1A6F" w:rsidRDefault="002F1A6F" w:rsidP="00043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B4D" w:rsidRDefault="00173B4D">
    <w:pPr>
      <w:pStyle w:val="Footer"/>
    </w:pPr>
    <w:r>
      <w:t>Census 2016: Age and Sex; Type of Dwelling</w:t>
    </w:r>
    <w:r>
      <w:ptab w:relativeTo="margin" w:alignment="right" w:leader="none"/>
    </w:r>
    <w:r w:rsidRPr="00ED0322">
      <w:t xml:space="preserve"> Page </w:t>
    </w:r>
    <w:r w:rsidR="00575D0C" w:rsidRPr="00ED0322">
      <w:rPr>
        <w:bCs/>
      </w:rPr>
      <w:fldChar w:fldCharType="begin"/>
    </w:r>
    <w:r w:rsidRPr="00ED0322">
      <w:rPr>
        <w:bCs/>
      </w:rPr>
      <w:instrText xml:space="preserve"> PAGE  \* Arabic  \* MERGEFORMAT </w:instrText>
    </w:r>
    <w:r w:rsidR="00575D0C" w:rsidRPr="00ED0322">
      <w:rPr>
        <w:bCs/>
      </w:rPr>
      <w:fldChar w:fldCharType="separate"/>
    </w:r>
    <w:r w:rsidR="00F04528">
      <w:rPr>
        <w:bCs/>
        <w:noProof/>
      </w:rPr>
      <w:t>2</w:t>
    </w:r>
    <w:r w:rsidR="00575D0C" w:rsidRPr="00ED0322">
      <w:rPr>
        <w:bCs/>
      </w:rPr>
      <w:fldChar w:fldCharType="end"/>
    </w:r>
    <w:r w:rsidRPr="00ED0322">
      <w:t xml:space="preserve"> of </w:t>
    </w:r>
    <w:r w:rsidR="002F1A6F">
      <w:fldChar w:fldCharType="begin"/>
    </w:r>
    <w:r w:rsidR="002F1A6F">
      <w:instrText xml:space="preserve"> NUMPAGES  \* Arabic  \* MERGEFORMAT </w:instrText>
    </w:r>
    <w:r w:rsidR="002F1A6F">
      <w:fldChar w:fldCharType="separate"/>
    </w:r>
    <w:r w:rsidR="00F04528" w:rsidRPr="00F04528">
      <w:rPr>
        <w:bCs/>
        <w:noProof/>
      </w:rPr>
      <w:t>36</w:t>
    </w:r>
    <w:r w:rsidR="002F1A6F">
      <w:rPr>
        <w:bCs/>
        <w:noProof/>
      </w:rPr>
      <w:fldChar w:fldCharType="end"/>
    </w:r>
    <w:r>
      <w:ptab w:relativeTo="margin" w:alignment="right" w:leader="none"/>
    </w:r>
    <w:r w:rsidRPr="00ED0322">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A6F" w:rsidRDefault="002F1A6F" w:rsidP="00043CA2">
      <w:r>
        <w:separator/>
      </w:r>
    </w:p>
  </w:footnote>
  <w:footnote w:type="continuationSeparator" w:id="0">
    <w:p w:rsidR="002F1A6F" w:rsidRDefault="002F1A6F" w:rsidP="00043C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B4D" w:rsidRPr="00946BBE" w:rsidRDefault="00173B4D" w:rsidP="00F7644E">
    <w:pPr>
      <w:pStyle w:val="Title"/>
      <w:pBdr>
        <w:bottom w:val="single" w:sz="4" w:space="1" w:color="auto"/>
      </w:pBdr>
      <w:tabs>
        <w:tab w:val="right" w:pos="9360"/>
      </w:tabs>
      <w:spacing w:before="240" w:after="60"/>
      <w:rPr>
        <w:rStyle w:val="Strong"/>
        <w:bCs w:val="0"/>
        <w:sz w:val="56"/>
        <w:szCs w:val="56"/>
      </w:rPr>
    </w:pPr>
    <w:r>
      <w:rPr>
        <w:rStyle w:val="Strong"/>
        <w:bCs w:val="0"/>
        <w:sz w:val="56"/>
        <w:szCs w:val="56"/>
      </w:rPr>
      <w:tab/>
    </w:r>
    <w:r w:rsidRPr="00946BBE">
      <w:rPr>
        <w:noProof/>
        <w:lang w:eastAsia="en-CA"/>
      </w:rPr>
      <w:drawing>
        <wp:anchor distT="0" distB="0" distL="114300" distR="114300" simplePos="0" relativeHeight="251659264" behindDoc="1" locked="0" layoutInCell="1" allowOverlap="1">
          <wp:simplePos x="0" y="0"/>
          <wp:positionH relativeFrom="margin">
            <wp:posOffset>0</wp:posOffset>
          </wp:positionH>
          <wp:positionV relativeFrom="margin">
            <wp:posOffset>-736600</wp:posOffset>
          </wp:positionV>
          <wp:extent cx="1463040" cy="457200"/>
          <wp:effectExtent l="0" t="0" r="3810" b="0"/>
          <wp:wrapNone/>
          <wp:docPr id="13" name="Picture 13" descr="This image is the City of Toron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3040" cy="457200"/>
                  </a:xfrm>
                  <a:prstGeom prst="rect">
                    <a:avLst/>
                  </a:prstGeom>
                </pic:spPr>
              </pic:pic>
            </a:graphicData>
          </a:graphic>
        </wp:anchor>
      </w:drawing>
    </w:r>
    <w:r w:rsidRPr="00946BBE">
      <w:rPr>
        <w:rStyle w:val="Strong"/>
        <w:bCs w:val="0"/>
        <w:sz w:val="56"/>
        <w:szCs w:val="56"/>
      </w:rPr>
      <w:t>Backgrounder</w:t>
    </w:r>
  </w:p>
  <w:p w:rsidR="00173B4D" w:rsidRDefault="00173B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E9C8F6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A05C962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35783A"/>
    <w:multiLevelType w:val="multilevel"/>
    <w:tmpl w:val="1AD00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D15832"/>
    <w:multiLevelType w:val="hybridMultilevel"/>
    <w:tmpl w:val="5C70BD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3F71E1E"/>
    <w:multiLevelType w:val="hybridMultilevel"/>
    <w:tmpl w:val="C3CE70F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73F26AE6"/>
    <w:multiLevelType w:val="hybridMultilevel"/>
    <w:tmpl w:val="93409B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B107A09"/>
    <w:multiLevelType w:val="hybridMultilevel"/>
    <w:tmpl w:val="82C422B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
  </w:num>
  <w:num w:numId="2">
    <w:abstractNumId w:val="1"/>
  </w:num>
  <w:num w:numId="3">
    <w:abstractNumId w:val="0"/>
  </w:num>
  <w:num w:numId="4">
    <w:abstractNumId w:val="0"/>
  </w:num>
  <w:num w:numId="5">
    <w:abstractNumId w:val="3"/>
  </w:num>
  <w:num w:numId="6">
    <w:abstractNumId w:val="2"/>
  </w:num>
  <w:num w:numId="7">
    <w:abstractNumId w:val="4"/>
  </w:num>
  <w:num w:numId="8">
    <w:abstractNumId w:val="5"/>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8189B"/>
    <w:rsid w:val="00022EFE"/>
    <w:rsid w:val="00025138"/>
    <w:rsid w:val="000266A2"/>
    <w:rsid w:val="000353D1"/>
    <w:rsid w:val="00043CA2"/>
    <w:rsid w:val="00050778"/>
    <w:rsid w:val="000749C8"/>
    <w:rsid w:val="00075B17"/>
    <w:rsid w:val="000804B0"/>
    <w:rsid w:val="00095DC2"/>
    <w:rsid w:val="000A6638"/>
    <w:rsid w:val="000B5A47"/>
    <w:rsid w:val="000B6FC8"/>
    <w:rsid w:val="000C1FD8"/>
    <w:rsid w:val="000F3CC1"/>
    <w:rsid w:val="000F7F33"/>
    <w:rsid w:val="000F7F54"/>
    <w:rsid w:val="001019B5"/>
    <w:rsid w:val="00130566"/>
    <w:rsid w:val="001453E3"/>
    <w:rsid w:val="00160B4A"/>
    <w:rsid w:val="00165723"/>
    <w:rsid w:val="00173B4D"/>
    <w:rsid w:val="0018189B"/>
    <w:rsid w:val="001A04C9"/>
    <w:rsid w:val="001A6C79"/>
    <w:rsid w:val="001B7666"/>
    <w:rsid w:val="001C046F"/>
    <w:rsid w:val="001C0F4D"/>
    <w:rsid w:val="001E7632"/>
    <w:rsid w:val="002061A5"/>
    <w:rsid w:val="00212378"/>
    <w:rsid w:val="00246DE4"/>
    <w:rsid w:val="002473CF"/>
    <w:rsid w:val="00262BFD"/>
    <w:rsid w:val="002644AD"/>
    <w:rsid w:val="00272EB4"/>
    <w:rsid w:val="002752CD"/>
    <w:rsid w:val="00275E4C"/>
    <w:rsid w:val="002B2E9A"/>
    <w:rsid w:val="002F1A6F"/>
    <w:rsid w:val="002F448F"/>
    <w:rsid w:val="00305385"/>
    <w:rsid w:val="00324D8F"/>
    <w:rsid w:val="0032540B"/>
    <w:rsid w:val="003A2558"/>
    <w:rsid w:val="003C36BB"/>
    <w:rsid w:val="003F4C2A"/>
    <w:rsid w:val="00421BD2"/>
    <w:rsid w:val="00441053"/>
    <w:rsid w:val="00447172"/>
    <w:rsid w:val="00461C92"/>
    <w:rsid w:val="0047556D"/>
    <w:rsid w:val="00495328"/>
    <w:rsid w:val="00497F6A"/>
    <w:rsid w:val="004C264B"/>
    <w:rsid w:val="004C7461"/>
    <w:rsid w:val="004F3793"/>
    <w:rsid w:val="00513334"/>
    <w:rsid w:val="00525606"/>
    <w:rsid w:val="0054180C"/>
    <w:rsid w:val="00545838"/>
    <w:rsid w:val="00575D0C"/>
    <w:rsid w:val="00580EAD"/>
    <w:rsid w:val="005927B5"/>
    <w:rsid w:val="005C153A"/>
    <w:rsid w:val="005D17DB"/>
    <w:rsid w:val="005D5D0B"/>
    <w:rsid w:val="005E1EAB"/>
    <w:rsid w:val="005F01E1"/>
    <w:rsid w:val="00602306"/>
    <w:rsid w:val="006117FF"/>
    <w:rsid w:val="00622C3F"/>
    <w:rsid w:val="00627E7C"/>
    <w:rsid w:val="00630DD0"/>
    <w:rsid w:val="006415A8"/>
    <w:rsid w:val="00643806"/>
    <w:rsid w:val="00655F56"/>
    <w:rsid w:val="00661443"/>
    <w:rsid w:val="00663031"/>
    <w:rsid w:val="00686FA8"/>
    <w:rsid w:val="00693AD2"/>
    <w:rsid w:val="0069675E"/>
    <w:rsid w:val="006A4278"/>
    <w:rsid w:val="006A7786"/>
    <w:rsid w:val="006B1756"/>
    <w:rsid w:val="006D609C"/>
    <w:rsid w:val="00747F3C"/>
    <w:rsid w:val="007543EF"/>
    <w:rsid w:val="007554DB"/>
    <w:rsid w:val="00772685"/>
    <w:rsid w:val="00784828"/>
    <w:rsid w:val="00786A11"/>
    <w:rsid w:val="00787A20"/>
    <w:rsid w:val="00793EA8"/>
    <w:rsid w:val="0079581C"/>
    <w:rsid w:val="007B2D4C"/>
    <w:rsid w:val="007B6418"/>
    <w:rsid w:val="007C47D8"/>
    <w:rsid w:val="007D13D3"/>
    <w:rsid w:val="007E66C0"/>
    <w:rsid w:val="00805222"/>
    <w:rsid w:val="008055E2"/>
    <w:rsid w:val="00820409"/>
    <w:rsid w:val="00845B32"/>
    <w:rsid w:val="008771B7"/>
    <w:rsid w:val="0088063D"/>
    <w:rsid w:val="008B4EEF"/>
    <w:rsid w:val="008B51D6"/>
    <w:rsid w:val="008C2215"/>
    <w:rsid w:val="00903276"/>
    <w:rsid w:val="0091108E"/>
    <w:rsid w:val="009135F5"/>
    <w:rsid w:val="0091711B"/>
    <w:rsid w:val="009446D6"/>
    <w:rsid w:val="00946BBE"/>
    <w:rsid w:val="009545C5"/>
    <w:rsid w:val="00955359"/>
    <w:rsid w:val="009715D5"/>
    <w:rsid w:val="0098439D"/>
    <w:rsid w:val="009927AF"/>
    <w:rsid w:val="009D075E"/>
    <w:rsid w:val="009E59E8"/>
    <w:rsid w:val="009F6BA0"/>
    <w:rsid w:val="00A05C8F"/>
    <w:rsid w:val="00A1479C"/>
    <w:rsid w:val="00A1756D"/>
    <w:rsid w:val="00A36F64"/>
    <w:rsid w:val="00A470AB"/>
    <w:rsid w:val="00A47479"/>
    <w:rsid w:val="00A5625E"/>
    <w:rsid w:val="00A67395"/>
    <w:rsid w:val="00A816B0"/>
    <w:rsid w:val="00A9198F"/>
    <w:rsid w:val="00AC7767"/>
    <w:rsid w:val="00AF0693"/>
    <w:rsid w:val="00AF13E3"/>
    <w:rsid w:val="00AF5EF8"/>
    <w:rsid w:val="00B059C0"/>
    <w:rsid w:val="00B3236D"/>
    <w:rsid w:val="00B339DD"/>
    <w:rsid w:val="00B410CE"/>
    <w:rsid w:val="00B67D34"/>
    <w:rsid w:val="00B72746"/>
    <w:rsid w:val="00B80796"/>
    <w:rsid w:val="00BB1065"/>
    <w:rsid w:val="00BC5316"/>
    <w:rsid w:val="00BD3DEC"/>
    <w:rsid w:val="00BD51D8"/>
    <w:rsid w:val="00BF17EC"/>
    <w:rsid w:val="00BF19F8"/>
    <w:rsid w:val="00BF53FF"/>
    <w:rsid w:val="00BF6613"/>
    <w:rsid w:val="00BF7C78"/>
    <w:rsid w:val="00C22B07"/>
    <w:rsid w:val="00C31A79"/>
    <w:rsid w:val="00C35887"/>
    <w:rsid w:val="00C60015"/>
    <w:rsid w:val="00C657C0"/>
    <w:rsid w:val="00C8469D"/>
    <w:rsid w:val="00C94B84"/>
    <w:rsid w:val="00C97C71"/>
    <w:rsid w:val="00CA0431"/>
    <w:rsid w:val="00CA3823"/>
    <w:rsid w:val="00CC4509"/>
    <w:rsid w:val="00D15C99"/>
    <w:rsid w:val="00D178E4"/>
    <w:rsid w:val="00D216B3"/>
    <w:rsid w:val="00D21732"/>
    <w:rsid w:val="00D24F7D"/>
    <w:rsid w:val="00D3271A"/>
    <w:rsid w:val="00D33806"/>
    <w:rsid w:val="00D50867"/>
    <w:rsid w:val="00D62734"/>
    <w:rsid w:val="00D657FD"/>
    <w:rsid w:val="00D81C29"/>
    <w:rsid w:val="00D83B7F"/>
    <w:rsid w:val="00DA1A6F"/>
    <w:rsid w:val="00DA617D"/>
    <w:rsid w:val="00DA67ED"/>
    <w:rsid w:val="00DD34D4"/>
    <w:rsid w:val="00DD591A"/>
    <w:rsid w:val="00DF06A0"/>
    <w:rsid w:val="00E01A50"/>
    <w:rsid w:val="00E043A9"/>
    <w:rsid w:val="00E173D7"/>
    <w:rsid w:val="00E36EAD"/>
    <w:rsid w:val="00E4648C"/>
    <w:rsid w:val="00E56D07"/>
    <w:rsid w:val="00E605FA"/>
    <w:rsid w:val="00E840B8"/>
    <w:rsid w:val="00E93A8E"/>
    <w:rsid w:val="00E93E1F"/>
    <w:rsid w:val="00EC3148"/>
    <w:rsid w:val="00F0438D"/>
    <w:rsid w:val="00F04528"/>
    <w:rsid w:val="00F130B5"/>
    <w:rsid w:val="00F215F9"/>
    <w:rsid w:val="00F26A2A"/>
    <w:rsid w:val="00F37A1E"/>
    <w:rsid w:val="00F618A2"/>
    <w:rsid w:val="00F67B67"/>
    <w:rsid w:val="00F73177"/>
    <w:rsid w:val="00F7644E"/>
    <w:rsid w:val="00F90213"/>
    <w:rsid w:val="00F937E4"/>
    <w:rsid w:val="00FA02B0"/>
    <w:rsid w:val="00FA55DE"/>
    <w:rsid w:val="00FB2E8C"/>
    <w:rsid w:val="00FC0D85"/>
    <w:rsid w:val="00FC75C2"/>
    <w:rsid w:val="00FD1E87"/>
    <w:rsid w:val="00FF00E9"/>
    <w:rsid w:val="00FF4A3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AE1431-BF55-4DE2-9D2F-ABC291DAE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18189B"/>
    <w:pPr>
      <w:spacing w:after="0" w:line="240" w:lineRule="auto"/>
    </w:pPr>
    <w:rPr>
      <w:rFonts w:ascii="Arial" w:hAnsi="Arial"/>
      <w:color w:val="000000" w:themeColor="text1"/>
      <w:sz w:val="24"/>
      <w:szCs w:val="24"/>
    </w:rPr>
  </w:style>
  <w:style w:type="paragraph" w:styleId="Heading1">
    <w:name w:val="heading 1"/>
    <w:basedOn w:val="Normal"/>
    <w:next w:val="Normal"/>
    <w:link w:val="Heading1Char"/>
    <w:uiPriority w:val="9"/>
    <w:qFormat/>
    <w:rsid w:val="0018189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A0431"/>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basedOn w:val="Normal"/>
    <w:link w:val="BodyChar"/>
    <w:qFormat/>
    <w:rsid w:val="0018189B"/>
  </w:style>
  <w:style w:type="character" w:customStyle="1" w:styleId="BodyChar">
    <w:name w:val="_Body Char"/>
    <w:basedOn w:val="DefaultParagraphFont"/>
    <w:link w:val="Body"/>
    <w:rsid w:val="0018189B"/>
    <w:rPr>
      <w:rFonts w:ascii="Arial" w:hAnsi="Arial"/>
      <w:color w:val="000000" w:themeColor="text1"/>
      <w:sz w:val="24"/>
      <w:szCs w:val="24"/>
    </w:rPr>
  </w:style>
  <w:style w:type="paragraph" w:customStyle="1" w:styleId="Heading10">
    <w:name w:val="_Heading1"/>
    <w:basedOn w:val="Heading1"/>
    <w:next w:val="Body"/>
    <w:uiPriority w:val="1"/>
    <w:qFormat/>
    <w:rsid w:val="000749C8"/>
    <w:pPr>
      <w:spacing w:before="360" w:after="120"/>
    </w:pPr>
    <w:rPr>
      <w:rFonts w:ascii="Arial" w:hAnsi="Arial"/>
      <w:b/>
      <w:color w:val="000000" w:themeColor="text1"/>
      <w:sz w:val="26"/>
    </w:rPr>
  </w:style>
  <w:style w:type="character" w:customStyle="1" w:styleId="Heading1Char">
    <w:name w:val="Heading 1 Char"/>
    <w:basedOn w:val="DefaultParagraphFont"/>
    <w:link w:val="Heading1"/>
    <w:uiPriority w:val="9"/>
    <w:rsid w:val="0018189B"/>
    <w:rPr>
      <w:rFonts w:asciiTheme="majorHAnsi" w:eastAsiaTheme="majorEastAsia" w:hAnsiTheme="majorHAnsi" w:cstheme="majorBidi"/>
      <w:color w:val="2E74B5" w:themeColor="accent1" w:themeShade="BF"/>
      <w:sz w:val="32"/>
      <w:szCs w:val="32"/>
    </w:rPr>
  </w:style>
  <w:style w:type="paragraph" w:customStyle="1" w:styleId="Heading2">
    <w:name w:val="_Heading2"/>
    <w:basedOn w:val="Heading10"/>
    <w:next w:val="Body"/>
    <w:uiPriority w:val="1"/>
    <w:qFormat/>
    <w:rsid w:val="0018189B"/>
    <w:rPr>
      <w:sz w:val="24"/>
    </w:rPr>
  </w:style>
  <w:style w:type="paragraph" w:customStyle="1" w:styleId="RecommendationL2">
    <w:name w:val="_Recommendation L2"/>
    <w:basedOn w:val="Normal"/>
    <w:qFormat/>
    <w:rsid w:val="0018189B"/>
    <w:pPr>
      <w:ind w:left="720"/>
    </w:pPr>
  </w:style>
  <w:style w:type="paragraph" w:customStyle="1" w:styleId="RecommendationL3">
    <w:name w:val="_Recommendation L3"/>
    <w:basedOn w:val="RecommendationL2"/>
    <w:qFormat/>
    <w:rsid w:val="0018189B"/>
    <w:pPr>
      <w:ind w:left="1440"/>
    </w:pPr>
  </w:style>
  <w:style w:type="paragraph" w:customStyle="1" w:styleId="Section">
    <w:name w:val="_Section"/>
    <w:basedOn w:val="Body"/>
    <w:uiPriority w:val="2"/>
    <w:qFormat/>
    <w:rsid w:val="000749C8"/>
    <w:pPr>
      <w:pBdr>
        <w:bottom w:val="single" w:sz="4" w:space="1" w:color="auto"/>
      </w:pBdr>
      <w:spacing w:before="360" w:after="120"/>
    </w:pPr>
    <w:rPr>
      <w:b/>
      <w:caps/>
      <w:sz w:val="26"/>
    </w:rPr>
  </w:style>
  <w:style w:type="paragraph" w:customStyle="1" w:styleId="Title">
    <w:name w:val="_Title"/>
    <w:basedOn w:val="Normal"/>
    <w:link w:val="TitleChar"/>
    <w:qFormat/>
    <w:rsid w:val="0018189B"/>
    <w:pPr>
      <w:spacing w:before="120" w:after="240"/>
    </w:pPr>
    <w:rPr>
      <w:rFonts w:cs="Arial"/>
      <w:b/>
      <w:sz w:val="36"/>
    </w:rPr>
  </w:style>
  <w:style w:type="character" w:customStyle="1" w:styleId="TitleChar">
    <w:name w:val="_Title Char"/>
    <w:basedOn w:val="DefaultParagraphFont"/>
    <w:link w:val="Title"/>
    <w:rsid w:val="0018189B"/>
    <w:rPr>
      <w:rFonts w:ascii="Arial" w:hAnsi="Arial" w:cs="Arial"/>
      <w:b/>
      <w:color w:val="000000" w:themeColor="text1"/>
      <w:sz w:val="36"/>
      <w:szCs w:val="24"/>
    </w:rPr>
  </w:style>
  <w:style w:type="paragraph" w:styleId="Caption">
    <w:name w:val="caption"/>
    <w:aliases w:val="_Caption"/>
    <w:basedOn w:val="Normal"/>
    <w:next w:val="Normal"/>
    <w:uiPriority w:val="1"/>
    <w:qFormat/>
    <w:rsid w:val="0018189B"/>
    <w:pPr>
      <w:spacing w:after="200"/>
    </w:pPr>
    <w:rPr>
      <w:iCs/>
      <w:szCs w:val="18"/>
    </w:rPr>
  </w:style>
  <w:style w:type="character" w:styleId="Emphasis">
    <w:name w:val="Emphasis"/>
    <w:basedOn w:val="DefaultParagraphFont"/>
    <w:qFormat/>
    <w:rsid w:val="0018189B"/>
    <w:rPr>
      <w:i/>
      <w:iCs/>
    </w:rPr>
  </w:style>
  <w:style w:type="paragraph" w:styleId="Footer">
    <w:name w:val="footer"/>
    <w:aliases w:val="_Footer"/>
    <w:basedOn w:val="Body"/>
    <w:link w:val="FooterChar"/>
    <w:uiPriority w:val="99"/>
    <w:qFormat/>
    <w:rsid w:val="0018189B"/>
    <w:pPr>
      <w:tabs>
        <w:tab w:val="center" w:pos="4680"/>
        <w:tab w:val="right" w:pos="9360"/>
      </w:tabs>
    </w:pPr>
    <w:rPr>
      <w:sz w:val="20"/>
    </w:rPr>
  </w:style>
  <w:style w:type="character" w:customStyle="1" w:styleId="FooterChar">
    <w:name w:val="Footer Char"/>
    <w:aliases w:val="_Footer Char"/>
    <w:basedOn w:val="DefaultParagraphFont"/>
    <w:link w:val="Footer"/>
    <w:uiPriority w:val="99"/>
    <w:rsid w:val="0018189B"/>
    <w:rPr>
      <w:rFonts w:ascii="Arial" w:hAnsi="Arial"/>
      <w:color w:val="000000" w:themeColor="text1"/>
      <w:sz w:val="20"/>
      <w:szCs w:val="24"/>
    </w:rPr>
  </w:style>
  <w:style w:type="character" w:styleId="Hyperlink">
    <w:name w:val="Hyperlink"/>
    <w:aliases w:val="_Hyperlink"/>
    <w:basedOn w:val="DefaultParagraphFont"/>
    <w:uiPriority w:val="1"/>
    <w:qFormat/>
    <w:rsid w:val="0018189B"/>
    <w:rPr>
      <w:rFonts w:ascii="Arial" w:hAnsi="Arial"/>
      <w:caps w:val="0"/>
      <w:smallCaps w:val="0"/>
      <w:strike w:val="0"/>
      <w:dstrike w:val="0"/>
      <w:vanish w:val="0"/>
      <w:color w:val="0563C1" w:themeColor="hyperlink"/>
      <w:sz w:val="24"/>
      <w:u w:val="single"/>
      <w:vertAlign w:val="baseline"/>
    </w:rPr>
  </w:style>
  <w:style w:type="paragraph" w:styleId="ListBullet">
    <w:name w:val="List Bullet"/>
    <w:basedOn w:val="Normal"/>
    <w:next w:val="Body"/>
    <w:link w:val="ListBulletChar"/>
    <w:uiPriority w:val="1"/>
    <w:qFormat/>
    <w:rsid w:val="000749C8"/>
    <w:pPr>
      <w:numPr>
        <w:numId w:val="2"/>
      </w:numPr>
      <w:spacing w:after="120"/>
    </w:pPr>
  </w:style>
  <w:style w:type="character" w:customStyle="1" w:styleId="ListBulletChar">
    <w:name w:val="List Bullet Char"/>
    <w:basedOn w:val="DefaultParagraphFont"/>
    <w:link w:val="ListBullet"/>
    <w:uiPriority w:val="1"/>
    <w:rsid w:val="000749C8"/>
    <w:rPr>
      <w:rFonts w:ascii="Arial" w:hAnsi="Arial"/>
      <w:color w:val="000000" w:themeColor="text1"/>
      <w:sz w:val="24"/>
      <w:szCs w:val="24"/>
    </w:rPr>
  </w:style>
  <w:style w:type="paragraph" w:styleId="ListBullet2">
    <w:name w:val="List Bullet 2"/>
    <w:basedOn w:val="ListBullet"/>
    <w:next w:val="Body"/>
    <w:link w:val="ListBullet2Char"/>
    <w:uiPriority w:val="1"/>
    <w:qFormat/>
    <w:rsid w:val="0018189B"/>
    <w:pPr>
      <w:numPr>
        <w:numId w:val="4"/>
      </w:numPr>
    </w:pPr>
  </w:style>
  <w:style w:type="character" w:customStyle="1" w:styleId="ListBullet2Char">
    <w:name w:val="List Bullet 2 Char"/>
    <w:basedOn w:val="ListBulletChar"/>
    <w:link w:val="ListBullet2"/>
    <w:uiPriority w:val="1"/>
    <w:rsid w:val="0018189B"/>
    <w:rPr>
      <w:rFonts w:ascii="Arial" w:hAnsi="Arial"/>
      <w:color w:val="000000" w:themeColor="text1"/>
      <w:sz w:val="24"/>
      <w:szCs w:val="24"/>
    </w:rPr>
  </w:style>
  <w:style w:type="character" w:styleId="Strong">
    <w:name w:val="Strong"/>
    <w:basedOn w:val="BodyChar"/>
    <w:qFormat/>
    <w:rsid w:val="0018189B"/>
    <w:rPr>
      <w:rFonts w:ascii="Arial" w:hAnsi="Arial"/>
      <w:b/>
      <w:bCs/>
      <w:color w:val="000000" w:themeColor="text1"/>
      <w:sz w:val="24"/>
      <w:szCs w:val="24"/>
    </w:rPr>
  </w:style>
  <w:style w:type="table" w:styleId="TableGrid">
    <w:name w:val="Table Grid"/>
    <w:basedOn w:val="TableNormal"/>
    <w:uiPriority w:val="39"/>
    <w:rsid w:val="0018189B"/>
    <w:pPr>
      <w:spacing w:after="0" w:line="240" w:lineRule="auto"/>
    </w:pPr>
    <w:rPr>
      <w:rFonts w:ascii="Arial" w:hAnsi="Arial"/>
      <w:color w:val="000000" w:themeColor="text1"/>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5" w:type="dxa"/>
        <w:left w:w="115" w:type="dxa"/>
        <w:bottom w:w="115" w:type="dxa"/>
        <w:right w:w="115" w:type="dxa"/>
      </w:tblCellMar>
    </w:tblPr>
    <w:trPr>
      <w:cantSplit/>
    </w:trPr>
    <w:tcPr>
      <w:vAlign w:val="center"/>
    </w:tcPr>
    <w:tblStylePr w:type="firstRow">
      <w:rPr>
        <w:caps w:val="0"/>
        <w:color w:val="auto"/>
      </w:rPr>
      <w:tblPr/>
      <w:trPr>
        <w:cantSplit w:val="0"/>
        <w:tblHeader/>
      </w:trPr>
    </w:tblStylePr>
    <w:tblStylePr w:type="lastRow">
      <w:rPr>
        <w:i w:val="0"/>
        <w:iCs/>
      </w:rPr>
      <w:tblPr/>
      <w:tcPr>
        <w:tcBorders>
          <w:tl2br w:val="none" w:sz="0" w:space="0" w:color="auto"/>
          <w:tr2bl w:val="none" w:sz="0" w:space="0" w:color="auto"/>
        </w:tcBorders>
      </w:tcPr>
    </w:tblStylePr>
    <w:tblStylePr w:type="firstCol">
      <w:rPr>
        <w:i w:val="0"/>
      </w:rPr>
    </w:tblStylePr>
    <w:tblStylePr w:type="lastCol">
      <w:rPr>
        <w:i w:val="0"/>
        <w:iCs/>
      </w:rPr>
      <w:tblPr/>
      <w:tcPr>
        <w:tcBorders>
          <w:tl2br w:val="none" w:sz="0" w:space="0" w:color="auto"/>
          <w:tr2bl w:val="none" w:sz="0" w:space="0" w:color="auto"/>
        </w:tcBorders>
      </w:tcPr>
    </w:tblStylePr>
    <w:tblStylePr w:type="neCell">
      <w:rPr>
        <w:i w:val="0"/>
      </w:rPr>
    </w:tblStylePr>
    <w:tblStylePr w:type="seCell">
      <w:rPr>
        <w:i w:val="0"/>
      </w:rPr>
    </w:tblStylePr>
    <w:tblStylePr w:type="swCell">
      <w:rPr>
        <w:i w:val="0"/>
      </w:rPr>
    </w:tblStylePr>
  </w:style>
  <w:style w:type="table" w:customStyle="1" w:styleId="TableGridHRFC">
    <w:name w:val="Table Grid HR FC"/>
    <w:basedOn w:val="TableGrid"/>
    <w:uiPriority w:val="99"/>
    <w:rsid w:val="0018189B"/>
    <w:pPr>
      <w:jc w:val="right"/>
    </w:pPr>
    <w:tblPr/>
    <w:tblStylePr w:type="firstRow">
      <w:pPr>
        <w:jc w:val="center"/>
      </w:pPr>
      <w:rPr>
        <w:rFonts w:ascii="Arial" w:hAnsi="Arial"/>
        <w:b w:val="0"/>
        <w:caps w:val="0"/>
        <w:color w:val="auto"/>
      </w:rPr>
      <w:tblPr/>
      <w:trPr>
        <w:cantSplit w:val="0"/>
        <w:tblHeader/>
      </w:t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rPr>
    </w:tblStylePr>
    <w:tblStylePr w:type="lastCol">
      <w:rPr>
        <w:i w:val="0"/>
        <w:iCs/>
      </w:rPr>
      <w:tblPr/>
      <w:tcPr>
        <w:tcBorders>
          <w:tl2br w:val="none" w:sz="0" w:space="0" w:color="auto"/>
          <w:tr2bl w:val="none" w:sz="0" w:space="0" w:color="auto"/>
        </w:tcBorders>
      </w:tcPr>
    </w:tblStylePr>
    <w:tblStylePr w:type="neCell">
      <w:rPr>
        <w:i w:val="0"/>
      </w:rPr>
    </w:tblStylePr>
    <w:tblStylePr w:type="seCell">
      <w:rPr>
        <w:i w:val="0"/>
      </w:rPr>
    </w:tblStylePr>
    <w:tblStylePr w:type="swCell">
      <w:rPr>
        <w:i w:val="0"/>
      </w:rPr>
    </w:tblStylePr>
  </w:style>
  <w:style w:type="paragraph" w:styleId="NoSpacing">
    <w:name w:val="No Spacing"/>
    <w:uiPriority w:val="1"/>
    <w:qFormat/>
    <w:rsid w:val="002F448F"/>
    <w:pPr>
      <w:spacing w:after="0" w:line="240" w:lineRule="auto"/>
    </w:pPr>
    <w:rPr>
      <w:rFonts w:ascii="Arial" w:hAnsi="Arial"/>
      <w:color w:val="000000" w:themeColor="text1"/>
      <w:sz w:val="24"/>
      <w:szCs w:val="24"/>
    </w:rPr>
  </w:style>
  <w:style w:type="paragraph" w:styleId="Header">
    <w:name w:val="header"/>
    <w:basedOn w:val="Normal"/>
    <w:link w:val="HeaderChar"/>
    <w:uiPriority w:val="99"/>
    <w:unhideWhenUsed/>
    <w:rsid w:val="00043CA2"/>
    <w:pPr>
      <w:tabs>
        <w:tab w:val="center" w:pos="4680"/>
        <w:tab w:val="right" w:pos="9360"/>
      </w:tabs>
    </w:pPr>
  </w:style>
  <w:style w:type="character" w:customStyle="1" w:styleId="HeaderChar">
    <w:name w:val="Header Char"/>
    <w:basedOn w:val="DefaultParagraphFont"/>
    <w:link w:val="Header"/>
    <w:uiPriority w:val="99"/>
    <w:rsid w:val="00043CA2"/>
    <w:rPr>
      <w:rFonts w:ascii="Arial" w:hAnsi="Arial"/>
      <w:color w:val="000000" w:themeColor="text1"/>
      <w:sz w:val="24"/>
      <w:szCs w:val="24"/>
    </w:rPr>
  </w:style>
  <w:style w:type="paragraph" w:styleId="NormalWeb">
    <w:name w:val="Normal (Web)"/>
    <w:basedOn w:val="Normal"/>
    <w:uiPriority w:val="99"/>
    <w:semiHidden/>
    <w:unhideWhenUsed/>
    <w:rsid w:val="00A5625E"/>
    <w:pPr>
      <w:spacing w:before="100" w:beforeAutospacing="1" w:after="100" w:afterAutospacing="1"/>
    </w:pPr>
    <w:rPr>
      <w:rFonts w:ascii="Times New Roman" w:eastAsia="Times New Roman" w:hAnsi="Times New Roman" w:cs="Times New Roman"/>
      <w:color w:val="auto"/>
      <w:lang w:eastAsia="en-CA"/>
    </w:rPr>
  </w:style>
  <w:style w:type="paragraph" w:customStyle="1" w:styleId="04BodyText">
    <w:name w:val="04_Body Text"/>
    <w:basedOn w:val="Normal"/>
    <w:rsid w:val="00AC7767"/>
    <w:pPr>
      <w:tabs>
        <w:tab w:val="left" w:pos="1080"/>
      </w:tabs>
    </w:pPr>
    <w:rPr>
      <w:rFonts w:ascii="Times New Roman" w:eastAsia="Times" w:hAnsi="Times New Roman" w:cs="Times New Roman"/>
      <w:color w:val="auto"/>
    </w:rPr>
  </w:style>
  <w:style w:type="character" w:customStyle="1" w:styleId="Heading3Char">
    <w:name w:val="Heading 3 Char"/>
    <w:basedOn w:val="DefaultParagraphFont"/>
    <w:link w:val="Heading3"/>
    <w:uiPriority w:val="9"/>
    <w:semiHidden/>
    <w:rsid w:val="00CA0431"/>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54180C"/>
    <w:rPr>
      <w:color w:val="954F72" w:themeColor="followedHyperlink"/>
      <w:u w:val="single"/>
    </w:rPr>
  </w:style>
  <w:style w:type="paragraph" w:styleId="BalloonText">
    <w:name w:val="Balloon Text"/>
    <w:basedOn w:val="Normal"/>
    <w:link w:val="BalloonTextChar"/>
    <w:uiPriority w:val="99"/>
    <w:semiHidden/>
    <w:unhideWhenUsed/>
    <w:rsid w:val="00B323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236D"/>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885082">
      <w:bodyDiv w:val="1"/>
      <w:marLeft w:val="0"/>
      <w:marRight w:val="0"/>
      <w:marTop w:val="0"/>
      <w:marBottom w:val="0"/>
      <w:divBdr>
        <w:top w:val="none" w:sz="0" w:space="0" w:color="auto"/>
        <w:left w:val="none" w:sz="0" w:space="0" w:color="auto"/>
        <w:bottom w:val="none" w:sz="0" w:space="0" w:color="auto"/>
        <w:right w:val="none" w:sz="0" w:space="0" w:color="auto"/>
      </w:divBdr>
    </w:div>
    <w:div w:id="889268810">
      <w:bodyDiv w:val="1"/>
      <w:marLeft w:val="0"/>
      <w:marRight w:val="0"/>
      <w:marTop w:val="0"/>
      <w:marBottom w:val="0"/>
      <w:divBdr>
        <w:top w:val="none" w:sz="0" w:space="0" w:color="auto"/>
        <w:left w:val="none" w:sz="0" w:space="0" w:color="auto"/>
        <w:bottom w:val="none" w:sz="0" w:space="0" w:color="auto"/>
        <w:right w:val="none" w:sz="0" w:space="0" w:color="auto"/>
      </w:divBdr>
    </w:div>
    <w:div w:id="164052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pp.toronto.ca/wards/jsp/wards.jsp" TargetMode="External"/><Relationship Id="rId18" Type="http://schemas.openxmlformats.org/officeDocument/2006/relationships/image" Target="media/image1.jpeg"/><Relationship Id="rId26" Type="http://schemas.openxmlformats.org/officeDocument/2006/relationships/image" Target="media/image9.emf"/><Relationship Id="rId39" Type="http://schemas.openxmlformats.org/officeDocument/2006/relationships/image" Target="media/image22.jpeg"/><Relationship Id="rId21" Type="http://schemas.openxmlformats.org/officeDocument/2006/relationships/image" Target="media/image4.png"/><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12.statcan.gc.ca/census-recensement/2016/ref/98-501/98-501-x2016002-eng.cfm" TargetMode="External"/><Relationship Id="rId17" Type="http://schemas.openxmlformats.org/officeDocument/2006/relationships/hyperlink" Target="mailto:bruce.hawkins@toronto.ca" TargetMode="External"/><Relationship Id="rId25" Type="http://schemas.openxmlformats.org/officeDocument/2006/relationships/image" Target="media/image8.emf"/><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hyperlink" Target="https://www12.statcan.gc.ca/census-recensement/index-eng.cfm" TargetMode="External"/><Relationship Id="rId20" Type="http://schemas.openxmlformats.org/officeDocument/2006/relationships/image" Target="media/image3.png"/><Relationship Id="rId29" Type="http://schemas.openxmlformats.org/officeDocument/2006/relationships/image" Target="media/image12.emf"/><Relationship Id="rId41" Type="http://schemas.openxmlformats.org/officeDocument/2006/relationships/image" Target="media/image24.emf"/><Relationship Id="rId54"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1.toronto.ca/wps/portal/contentonly?vgnextoid=ae17962c8c3f0410VgnVCM10000071d60f89RCRD&amp;vgnextchannel=cf8a42f18beb2410VgnVCM10000071d60f89RCRD" TargetMode="Externa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6.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oronto.ca/demographics/neighbourhoods.htm" TargetMode="Externa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fontTable" Target="fontTable.xml"/><Relationship Id="rId10" Type="http://schemas.openxmlformats.org/officeDocument/2006/relationships/hyperlink" Target="http://www1.toronto.ca/wps/portal/contentonly?vgnextoid=03eda07443f36410VgnVCM10000071d60f89RCRD" TargetMode="External"/><Relationship Id="rId19"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hyperlink" Target="http://www12.statcan.gc.ca/census-recensement/2016/ref/dict/index-eng.cfm" TargetMode="External"/><Relationship Id="rId14" Type="http://schemas.openxmlformats.org/officeDocument/2006/relationships/hyperlink" Target="http://www.toronto.ca/wellbeing" TargetMode="External"/><Relationship Id="rId22" Type="http://schemas.openxmlformats.org/officeDocument/2006/relationships/image" Target="media/image5.emf"/><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header" Target="header1.xml"/><Relationship Id="rId8" Type="http://schemas.openxmlformats.org/officeDocument/2006/relationships/hyperlink" Target="http://www12.statcan.gc.ca/census-recensement/2016/ref/dict/index-eng.cfm" TargetMode="External"/><Relationship Id="rId51" Type="http://schemas.openxmlformats.org/officeDocument/2006/relationships/image" Target="media/image34.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E3B37-353B-48BF-92C6-763AA63E1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4372</Words>
  <Characters>24927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Manager>spar@toronto.ca</Manager>
  <Company>City of Toronto</Company>
  <LinksUpToDate>false</LinksUpToDate>
  <CharactersWithSpaces>29241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spar@toronto.ca</dc:creator>
  <cp:lastModifiedBy>Caroline Cregan</cp:lastModifiedBy>
  <cp:revision>3</cp:revision>
  <cp:lastPrinted>2017-05-11T16:56:00Z</cp:lastPrinted>
  <dcterms:created xsi:type="dcterms:W3CDTF">2017-10-23T15:05:00Z</dcterms:created>
  <dcterms:modified xsi:type="dcterms:W3CDTF">2017-10-23T15:05:00Z</dcterms:modified>
</cp:coreProperties>
</file>